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175260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drawing>
          <wp:anchor simplePos="0" relativeHeight="251657728" behindDoc="1" locked="0" layoutInCell="0" allowOverlap="1">
            <wp:simplePos x="0" y="0"/>
            <wp:positionH relativeFrom="column">
              <wp:posOffset>2505075</wp:posOffset>
            </wp:positionH>
            <wp:positionV relativeFrom="paragraph">
              <wp:posOffset>301625</wp:posOffset>
            </wp:positionV>
            <wp:extent cx="709930" cy="788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930" cy="788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LANDSTAR SYSTEM,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800" w:type="dxa"/>
            <w:vAlign w:val="bottom"/>
          </w:tcPr>
          <w:p>
            <w:pPr>
              <w:jc w:val="center"/>
              <w:ind w:right="1604"/>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620" w:type="dxa"/>
            <w:vAlign w:val="bottom"/>
          </w:tcPr>
          <w:p>
            <w:pPr>
              <w:jc w:val="center"/>
              <w:ind w:right="745"/>
              <w:spacing w:after="0"/>
              <w:rPr>
                <w:sz w:val="20"/>
                <w:szCs w:val="20"/>
                <w:color w:val="auto"/>
              </w:rPr>
            </w:pPr>
            <w:r>
              <w:rPr>
                <w:rFonts w:ascii="Times New Roman" w:cs="Times New Roman" w:eastAsia="Times New Roman" w:hAnsi="Times New Roman"/>
                <w:sz w:val="13"/>
                <w:szCs w:val="13"/>
                <w:b w:val="1"/>
                <w:bCs w:val="1"/>
                <w:color w:val="auto"/>
                <w:w w:val="97"/>
              </w:rPr>
              <w:t>021238</w:t>
            </w:r>
          </w:p>
        </w:tc>
        <w:tc>
          <w:tcPr>
            <w:tcW w:w="172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06-1313069</w:t>
            </w:r>
          </w:p>
        </w:tc>
      </w:tr>
      <w:tr>
        <w:trPr>
          <w:trHeight w:val="104"/>
        </w:trPr>
        <w:tc>
          <w:tcPr>
            <w:tcW w:w="2800" w:type="dxa"/>
            <w:vAlign w:val="bottom"/>
          </w:tcPr>
          <w:p>
            <w:pPr>
              <w:jc w:val="center"/>
              <w:ind w:right="1604"/>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1620" w:type="dxa"/>
            <w:vAlign w:val="bottom"/>
          </w:tcPr>
          <w:p>
            <w:pPr>
              <w:jc w:val="center"/>
              <w:ind w:right="765"/>
              <w:spacing w:after="0" w:line="104" w:lineRule="exact"/>
              <w:rPr>
                <w:sz w:val="20"/>
                <w:szCs w:val="20"/>
                <w:color w:val="auto"/>
              </w:rPr>
            </w:pPr>
            <w:r>
              <w:rPr>
                <w:rFonts w:ascii="Times New Roman" w:cs="Times New Roman" w:eastAsia="Times New Roman" w:hAnsi="Times New Roman"/>
                <w:sz w:val="10"/>
                <w:szCs w:val="10"/>
                <w:b w:val="1"/>
                <w:bCs w:val="1"/>
                <w:color w:val="auto"/>
                <w:w w:val="99"/>
              </w:rPr>
              <w:t>(Commission</w:t>
            </w:r>
          </w:p>
        </w:tc>
        <w:tc>
          <w:tcPr>
            <w:tcW w:w="1720" w:type="dxa"/>
            <w:vAlign w:val="bottom"/>
          </w:tcPr>
          <w:p>
            <w:pPr>
              <w:jc w:val="center"/>
              <w:ind w:left="884"/>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800" w:type="dxa"/>
            <w:vAlign w:val="bottom"/>
          </w:tcPr>
          <w:p>
            <w:pPr>
              <w:jc w:val="center"/>
              <w:ind w:right="1604"/>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1620" w:type="dxa"/>
            <w:vAlign w:val="bottom"/>
          </w:tcPr>
          <w:p>
            <w:pPr>
              <w:jc w:val="center"/>
              <w:ind w:right="745"/>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4"/>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r>
        <w:trPr>
          <w:trHeight w:val="304"/>
        </w:trPr>
        <w:tc>
          <w:tcPr>
            <w:tcW w:w="4420" w:type="dxa"/>
            <w:vAlign w:val="bottom"/>
            <w:gridSpan w:val="2"/>
          </w:tcPr>
          <w:p>
            <w:pPr>
              <w:jc w:val="center"/>
              <w:ind w:right="665"/>
              <w:spacing w:after="0"/>
              <w:rPr>
                <w:sz w:val="20"/>
                <w:szCs w:val="20"/>
                <w:color w:val="auto"/>
              </w:rPr>
            </w:pPr>
            <w:r>
              <w:rPr>
                <w:rFonts w:ascii="Times New Roman" w:cs="Times New Roman" w:eastAsia="Times New Roman" w:hAnsi="Times New Roman"/>
                <w:sz w:val="13"/>
                <w:szCs w:val="13"/>
                <w:b w:val="1"/>
                <w:bCs w:val="1"/>
                <w:color w:val="auto"/>
                <w:w w:val="96"/>
              </w:rPr>
              <w:t>13410 Sutton Park Drive South, Jacksonville, Florida</w:t>
            </w:r>
          </w:p>
        </w:tc>
        <w:tc>
          <w:tcPr>
            <w:tcW w:w="172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32224</w:t>
            </w:r>
          </w:p>
        </w:tc>
      </w:tr>
      <w:tr>
        <w:trPr>
          <w:trHeight w:val="132"/>
        </w:trPr>
        <w:tc>
          <w:tcPr>
            <w:tcW w:w="2800" w:type="dxa"/>
            <w:vAlign w:val="bottom"/>
          </w:tcPr>
          <w:p>
            <w:pPr>
              <w:jc w:val="center"/>
              <w:ind w:left="844"/>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620" w:type="dxa"/>
            <w:vAlign w:val="bottom"/>
          </w:tcPr>
          <w:p>
            <w:pPr>
              <w:spacing w:after="0"/>
              <w:rPr>
                <w:sz w:val="11"/>
                <w:szCs w:val="11"/>
                <w:color w:val="auto"/>
              </w:rPr>
            </w:pPr>
          </w:p>
        </w:tc>
        <w:tc>
          <w:tcPr>
            <w:tcW w:w="1720" w:type="dxa"/>
            <w:vAlign w:val="bottom"/>
          </w:tcPr>
          <w:p>
            <w:pPr>
              <w:jc w:val="center"/>
              <w:ind w:left="884"/>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(904) 398-9400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LSTR</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NASDAQ</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color w:val="auto"/>
        </w:rPr>
        <w:t>Results of Operations and Financial Condition</w:t>
      </w:r>
    </w:p>
    <w:p>
      <w:pPr>
        <w:spacing w:after="0" w:line="78" w:lineRule="exact"/>
        <w:rPr>
          <w:sz w:val="20"/>
          <w:szCs w:val="20"/>
          <w:color w:val="auto"/>
        </w:rPr>
      </w:pPr>
    </w:p>
    <w:p>
      <w:pPr>
        <w:ind w:left="640" w:right="919"/>
        <w:spacing w:after="0" w:line="267" w:lineRule="auto"/>
        <w:rPr>
          <w:sz w:val="20"/>
          <w:szCs w:val="20"/>
          <w:color w:val="auto"/>
        </w:rPr>
      </w:pPr>
      <w:r>
        <w:rPr>
          <w:rFonts w:ascii="Times New Roman" w:cs="Times New Roman" w:eastAsia="Times New Roman" w:hAnsi="Times New Roman"/>
          <w:sz w:val="13"/>
          <w:szCs w:val="13"/>
          <w:color w:val="auto"/>
        </w:rPr>
        <w:t>On January 29, 2025, Landstar System, Inc. (“Landstar” or the “Company”) issued a press release announcing results for the fourth quarter of fiscal 2024. A copy of the press release is attached hereto as Exhibit 99.1.</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information contained in Item 7.01 concerning the presentation to Landstar investors is hereby incorporated into this Item 2.02 by reference.</w:t>
      </w:r>
    </w:p>
    <w:p>
      <w:pPr>
        <w:spacing w:after="0" w:line="154" w:lineRule="exact"/>
        <w:rPr>
          <w:sz w:val="20"/>
          <w:szCs w:val="20"/>
          <w:color w:val="auto"/>
        </w:rPr>
      </w:pPr>
    </w:p>
    <w:p>
      <w:pPr>
        <w:ind w:left="640" w:right="739"/>
        <w:spacing w:after="0" w:line="309" w:lineRule="auto"/>
        <w:rPr>
          <w:sz w:val="20"/>
          <w:szCs w:val="20"/>
          <w:color w:val="auto"/>
        </w:rPr>
      </w:pPr>
      <w:r>
        <w:rPr>
          <w:rFonts w:ascii="Times New Roman" w:cs="Times New Roman" w:eastAsia="Times New Roman" w:hAnsi="Times New Roman"/>
          <w:sz w:val="12"/>
          <w:szCs w:val="12"/>
          <w:color w:val="auto"/>
        </w:rPr>
        <w:t>The information furnished under Item 2.02 of this Current Report on Form 8-K, including Exhibit 99.1 hereto, shall not be deemed “filed” for purposes of Section 18 of the Securities Exchange Act of 1934, nor shall it be deemed incorporated by reference in any filing under the Securities Act of 1933.</w:t>
      </w:r>
    </w:p>
    <w:p>
      <w:pPr>
        <w:spacing w:after="0" w:line="204"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color w:val="auto"/>
        </w:rPr>
        <w:t>Item 7.01</w:t>
      </w:r>
      <w:r>
        <w:rPr>
          <w:sz w:val="20"/>
          <w:szCs w:val="20"/>
          <w:color w:val="auto"/>
        </w:rPr>
        <w:tab/>
      </w:r>
      <w:r>
        <w:rPr>
          <w:rFonts w:ascii="Times New Roman" w:cs="Times New Roman" w:eastAsia="Times New Roman" w:hAnsi="Times New Roman"/>
          <w:sz w:val="13"/>
          <w:szCs w:val="13"/>
          <w:color w:val="auto"/>
        </w:rPr>
        <w:t>Regulation FD Disclosure</w:t>
      </w:r>
    </w:p>
    <w:p>
      <w:pPr>
        <w:spacing w:after="0" w:line="78" w:lineRule="exact"/>
        <w:rPr>
          <w:sz w:val="20"/>
          <w:szCs w:val="20"/>
          <w:color w:val="auto"/>
        </w:rPr>
      </w:pPr>
    </w:p>
    <w:p>
      <w:pPr>
        <w:jc w:val="both"/>
        <w:ind w:left="640" w:right="699"/>
        <w:spacing w:after="0" w:line="255" w:lineRule="auto"/>
        <w:rPr>
          <w:sz w:val="20"/>
          <w:szCs w:val="20"/>
          <w:color w:val="auto"/>
        </w:rPr>
      </w:pPr>
      <w:r>
        <w:rPr>
          <w:rFonts w:ascii="Times New Roman" w:cs="Times New Roman" w:eastAsia="Times New Roman" w:hAnsi="Times New Roman"/>
          <w:sz w:val="13"/>
          <w:szCs w:val="13"/>
          <w:color w:val="auto"/>
        </w:rPr>
        <w:t>A slide presentation, dated January 29, 2025, is attached hereto as Exhibit 99.2 and is incorporated herein by reference. The slide presentation provides information that may be referred to by the Company on its conference call with investors scheduled to occur on January 29, 2025 in connection with the Company’s release of results for the fourth quarter of fiscal 2024.</w:t>
      </w:r>
    </w:p>
    <w:p>
      <w:pPr>
        <w:spacing w:after="0" w:line="130" w:lineRule="exact"/>
        <w:rPr>
          <w:sz w:val="20"/>
          <w:szCs w:val="20"/>
          <w:color w:val="auto"/>
        </w:rPr>
      </w:pPr>
    </w:p>
    <w:p>
      <w:pPr>
        <w:ind w:left="640" w:right="739"/>
        <w:spacing w:after="0" w:line="309" w:lineRule="auto"/>
        <w:rPr>
          <w:sz w:val="20"/>
          <w:szCs w:val="20"/>
          <w:color w:val="auto"/>
        </w:rPr>
      </w:pPr>
      <w:r>
        <w:rPr>
          <w:rFonts w:ascii="Times New Roman" w:cs="Times New Roman" w:eastAsia="Times New Roman" w:hAnsi="Times New Roman"/>
          <w:sz w:val="12"/>
          <w:szCs w:val="12"/>
          <w:color w:val="auto"/>
        </w:rPr>
        <w:t>The information furnished under Item 7.01 of this Current Report on Form 8-K, including Exhibit 99.2 hereto, shall not be deemed “filed” for purposes of Section 18 of the Securities Exchange Act of 1934, nor shall it be deemed incorporated by reference in any filing under the Securities Act of 1933.</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9.01</w:t>
            </w: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Financial Statements and Exhibits</w:t>
            </w:r>
          </w:p>
        </w:tc>
      </w:tr>
      <w:tr>
        <w:trPr>
          <w:trHeight w:val="275"/>
        </w:trPr>
        <w:tc>
          <w:tcPr>
            <w:tcW w:w="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Exhibits</w:t>
            </w:r>
          </w:p>
        </w:tc>
        <w:tc>
          <w:tcPr>
            <w:tcW w:w="324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188"/>
        </w:trPr>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99.1</w:t>
            </w:r>
          </w:p>
        </w:tc>
        <w:tc>
          <w:tcPr>
            <w:tcW w:w="360" w:type="dxa"/>
            <w:vAlign w:val="bottom"/>
          </w:tcPr>
          <w:p>
            <w:pPr>
              <w:spacing w:after="0"/>
              <w:rPr>
                <w:sz w:val="16"/>
                <w:szCs w:val="16"/>
                <w:color w:val="auto"/>
              </w:rPr>
            </w:pPr>
          </w:p>
        </w:tc>
        <w:tc>
          <w:tcPr>
            <w:tcW w:w="3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6"/>
              </w:rPr>
              <w:t>Press Release, dated January 29, 2025, of Landstar System, Inc.</w:t>
            </w:r>
          </w:p>
        </w:tc>
        <w:tc>
          <w:tcPr>
            <w:tcW w:w="220" w:type="dxa"/>
            <w:vAlign w:val="bottom"/>
          </w:tcPr>
          <w:p>
            <w:pPr>
              <w:spacing w:after="0"/>
              <w:rPr>
                <w:sz w:val="16"/>
                <w:szCs w:val="16"/>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60" w:type="dxa"/>
            <w:vAlign w:val="bottom"/>
          </w:tcPr>
          <w:p>
            <w:pPr>
              <w:spacing w:after="0"/>
              <w:rPr>
                <w:sz w:val="18"/>
                <w:szCs w:val="18"/>
                <w:color w:val="auto"/>
              </w:rPr>
            </w:pPr>
          </w:p>
        </w:tc>
        <w:tc>
          <w:tcPr>
            <w:tcW w:w="34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Slide Presentation, dated January 29, 2025, of Landstar System, Inc.</w:t>
            </w:r>
          </w:p>
        </w:tc>
      </w:tr>
      <w:tr>
        <w:trPr>
          <w:trHeight w:val="236"/>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6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7"/>
              </w:rPr>
              <w:t>Inline XBRL for the cover page of this Current Report on Form 8-K</w:t>
            </w:r>
          </w:p>
        </w:tc>
      </w:tr>
    </w:tbl>
    <w:p>
      <w:pPr>
        <w:sectPr>
          <w:pgSz w:w="11900" w:h="16838" w:orient="portrait"/>
          <w:cols w:equalWidth="0" w:num="1">
            <w:col w:w="9019"/>
          </w:cols>
          <w:pgMar w:left="1440" w:top="25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4"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540" w:type="dxa"/>
            <w:vAlign w:val="bottom"/>
          </w:tcPr>
          <w:p>
            <w:pPr>
              <w:spacing w:after="0"/>
              <w:rPr>
                <w:sz w:val="14"/>
                <w:szCs w:val="14"/>
                <w:color w:val="auto"/>
              </w:rPr>
            </w:pPr>
          </w:p>
        </w:tc>
        <w:tc>
          <w:tcPr>
            <w:tcW w:w="5200" w:type="dxa"/>
            <w:vAlign w:val="bottom"/>
            <w:gridSpan w:val="2"/>
          </w:tcPr>
          <w:p>
            <w:pPr>
              <w:ind w:left="1340"/>
              <w:spacing w:after="0"/>
              <w:rPr>
                <w:sz w:val="20"/>
                <w:szCs w:val="20"/>
                <w:color w:val="auto"/>
              </w:rPr>
            </w:pPr>
            <w:r>
              <w:rPr>
                <w:rFonts w:ascii="Times New Roman" w:cs="Times New Roman" w:eastAsia="Times New Roman" w:hAnsi="Times New Roman"/>
                <w:sz w:val="13"/>
                <w:szCs w:val="13"/>
                <w:color w:val="auto"/>
              </w:rPr>
              <w:t>LANDSTAR SYSTEM, INC.</w:t>
            </w:r>
          </w:p>
        </w:tc>
      </w:tr>
      <w:tr>
        <w:trPr>
          <w:trHeight w:val="303"/>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 Date: January 29, 2025</w:t>
            </w:r>
          </w:p>
        </w:tc>
        <w:tc>
          <w:tcPr>
            <w:tcW w:w="178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James P. Todd</w:t>
            </w:r>
          </w:p>
        </w:tc>
      </w:tr>
      <w:tr>
        <w:trPr>
          <w:trHeight w:val="138"/>
        </w:trPr>
        <w:tc>
          <w:tcPr>
            <w:tcW w:w="2540" w:type="dxa"/>
            <w:vAlign w:val="bottom"/>
          </w:tcPr>
          <w:p>
            <w:pPr>
              <w:spacing w:after="0"/>
              <w:rPr>
                <w:sz w:val="11"/>
                <w:szCs w:val="11"/>
                <w:color w:val="auto"/>
              </w:rPr>
            </w:pPr>
          </w:p>
        </w:tc>
        <w:tc>
          <w:tcPr>
            <w:tcW w:w="1780" w:type="dxa"/>
            <w:vAlign w:val="bottom"/>
          </w:tcPr>
          <w:p>
            <w:pPr>
              <w:ind w:left="134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James P. Todd</w:t>
            </w:r>
          </w:p>
        </w:tc>
      </w:tr>
      <w:tr>
        <w:trPr>
          <w:trHeight w:val="152"/>
        </w:trPr>
        <w:tc>
          <w:tcPr>
            <w:tcW w:w="2540" w:type="dxa"/>
            <w:vAlign w:val="bottom"/>
          </w:tcPr>
          <w:p>
            <w:pPr>
              <w:spacing w:after="0"/>
              <w:rPr>
                <w:sz w:val="13"/>
                <w:szCs w:val="13"/>
                <w:color w:val="auto"/>
              </w:rPr>
            </w:pPr>
          </w:p>
        </w:tc>
        <w:tc>
          <w:tcPr>
            <w:tcW w:w="178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Vice President, Chief Financial Officer</w:t>
            </w:r>
          </w:p>
        </w:tc>
      </w:tr>
      <w:tr>
        <w:trPr>
          <w:trHeight w:val="165"/>
        </w:trPr>
        <w:tc>
          <w:tcPr>
            <w:tcW w:w="2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and Assistant Secretary</w:t>
            </w:r>
          </w:p>
        </w:tc>
      </w:tr>
    </w:tbl>
    <w:p>
      <w:pPr>
        <w:sectPr>
          <w:pgSz w:w="11900" w:h="16838" w:orient="portrait"/>
          <w:cols w:equalWidth="0" w:num="1">
            <w:col w:w="9019"/>
          </w:cols>
          <w:pgMar w:left="1440" w:top="250"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173355</wp:posOffset>
            </wp:positionV>
            <wp:extent cx="4609465" cy="631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0946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0"/>
        <w:spacing w:after="0"/>
        <w:tabs>
          <w:tab w:leader="none" w:pos="7480" w:val="left"/>
        </w:tabs>
        <w:rPr>
          <w:sz w:val="20"/>
          <w:szCs w:val="20"/>
          <w:color w:val="auto"/>
        </w:rPr>
      </w:pPr>
      <w:r>
        <w:rPr>
          <w:rFonts w:ascii="Times New Roman" w:cs="Times New Roman" w:eastAsia="Times New Roman" w:hAnsi="Times New Roman"/>
          <w:sz w:val="13"/>
          <w:szCs w:val="13"/>
          <w:u w:val="single" w:color="auto"/>
          <w:color w:val="auto"/>
        </w:rPr>
        <w:t>For Immediate Release</w:t>
      </w:r>
      <w:r>
        <w:rPr>
          <w:sz w:val="20"/>
          <w:szCs w:val="20"/>
          <w:color w:val="auto"/>
        </w:rPr>
        <w:tab/>
      </w:r>
      <w:r>
        <w:rPr>
          <w:rFonts w:ascii="Times New Roman" w:cs="Times New Roman" w:eastAsia="Times New Roman" w:hAnsi="Times New Roman"/>
          <w:sz w:val="12"/>
          <w:szCs w:val="12"/>
          <w:color w:val="auto"/>
        </w:rPr>
        <w:t>January 29, 2025</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LANDSTAR SYSTEM REPORTS FOURTH QUARTER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REVENUE OF $1.209B AND EARNINGS PER SHARE OF $1.31</w:t>
      </w:r>
    </w:p>
    <w:p>
      <w:pPr>
        <w:spacing w:after="0" w:line="156"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Jacksonville, FL - Landstar System, Inc. (NASDAQ: LSTR) (“Landstar” or the “Company”) today reported basic and diluted earnings per share (“EPS”) of $1.31 in the 2024 fourth quarter on revenue of $1.209 billion. “The Landstar team of independent business owners and employees continued to perform admirably, despite the continuation of a challenging freight backdrop,” said Landstar President and Chief Executive Officer Frank Lonegro. “I was encouraged to see year-over-year quarterly revenue growth for the first time since the 2022 third quarter. The year-over-year revenue growth was achieved via a sequential increase in overall truck pricing as compared to the 2024 third quarter and a strong revenue performance specific to our unsided/platform service offering. We look to build on this revenue per load momentum as we begin the 2025 fiscal year. Our network of Landstar BCOs, agents and employees are optimistic for an improved freight transportation environment and will continue to strive each day to improve our safety performance and deliver great service to our customers.”</w:t>
      </w:r>
    </w:p>
    <w:p>
      <w:pPr>
        <w:spacing w:after="0" w:line="139"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Landstar continues to return capital to stockholders through the Company’s stock purchase program and dividends. During the 2024 fiscal year, Landstar purchased approximately 452,000 shares of its common stock at an aggregate cost of $82.1 million and paid $120.5 million to stockholders in the form of cash dividends. The Company is currently authorized to purchase up to an additional 2,547,981 shares of the Company’s common stock under its longstanding share purchase program. Landstar also announced today that its Board of Directors declared a quarterly dividend of $0.36 per share payable on March 11, 2025, to stockholders of record as of the close of business on February 18, 2025.</w:t>
      </w:r>
    </w:p>
    <w:p>
      <w:pPr>
        <w:sectPr>
          <w:pgSz w:w="11900" w:h="16838" w:orient="portrait"/>
          <w:cols w:equalWidth="0" w:num="1">
            <w:col w:w="9019"/>
          </w:cols>
          <w:pgMar w:left="1440" w:top="125"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SYSTEM/2</w:t>
      </w:r>
    </w:p>
    <w:p>
      <w:pPr>
        <w:spacing w:after="0" w:line="103"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4Q 2024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4Q 2023</w:t>
            </w:r>
          </w:p>
        </w:tc>
      </w:tr>
      <w:tr>
        <w:trPr>
          <w:trHeight w:val="141"/>
        </w:trPr>
        <w:tc>
          <w:tcPr>
            <w:tcW w:w="44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1,209,330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1,204,445</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109,423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124,594</w:t>
            </w:r>
          </w:p>
        </w:tc>
      </w:tr>
      <w:tr>
        <w:trPr>
          <w:trHeight w:val="15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Variable contribution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166,523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178,146</w:t>
            </w:r>
          </w:p>
        </w:tc>
      </w:tr>
      <w:tr>
        <w:trPr>
          <w:trHeight w:val="152"/>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57,771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74,567</w:t>
            </w:r>
          </w:p>
        </w:tc>
      </w:tr>
      <w:tr>
        <w:trPr>
          <w:trHeight w:val="15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and diluted earnings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1.62</w:t>
            </w:r>
          </w:p>
        </w:tc>
      </w:tr>
    </w:tbl>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    Dollars above in thousands, except per share amounts.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    Please refer to the Consolidated Statements of Income and Reconciliation of Gross Profit to Variable Contribution included below.</w:t>
      </w:r>
    </w:p>
    <w:p>
      <w:pPr>
        <w:spacing w:after="0" w:line="141" w:lineRule="exact"/>
        <w:rPr>
          <w:sz w:val="20"/>
          <w:szCs w:val="20"/>
          <w:color w:val="auto"/>
        </w:rPr>
      </w:pPr>
    </w:p>
    <w:p>
      <w:pPr>
        <w:ind w:left="640" w:right="679"/>
        <w:spacing w:after="0" w:line="271" w:lineRule="auto"/>
        <w:rPr>
          <w:sz w:val="20"/>
          <w:szCs w:val="20"/>
          <w:color w:val="auto"/>
        </w:rPr>
      </w:pPr>
      <w:r>
        <w:rPr>
          <w:rFonts w:ascii="Times New Roman" w:cs="Times New Roman" w:eastAsia="Times New Roman" w:hAnsi="Times New Roman"/>
          <w:sz w:val="12"/>
          <w:szCs w:val="12"/>
          <w:color w:val="auto"/>
        </w:rPr>
        <w:t>Total revenue was $1,209 million in the 2024 fourth quarter, compared to $1,204 million in the 2023 fourth quarter. Truck transportation revenue hauled by independent business capacity owners (“BCOs”) and truck brokerage carriers in the 2024 fourth quarter was $1,081 million, or 89% of revenue, compared to $1,085 million, or 90% of revenue, in the 2023 fourth quarter. Truckload transportation revenue hauled via van equipment in the 2024 fourth quarter was $597 million, compared to $619 million in the 2023 fourth quarter. Truckload transportation revenue hauled via unsided/platform equipment in the 2024 fourth quarter was $362 million, compared to $340 million in the 2023 fourth quarter. Revenue from other truck transportation, which is largely related to power-only services, in each of the 2024 and 2023 fourth quarters was $100 million. Revenue hauled by rail, air and ocean cargo carriers was $107 million, or 9% of revenue, in the 2024 fourth quarter, compared to $89 million, or 7% of revenue, in the 2023 fourth quarter.</w:t>
      </w:r>
    </w:p>
    <w:p>
      <w:pPr>
        <w:spacing w:after="0" w:line="122"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2"/>
          <w:szCs w:val="12"/>
          <w:color w:val="auto"/>
        </w:rPr>
        <w:t>The number of loads hauled via truck declined 3.4% in the 2024 fourth quarter as compared to the 2023 fourth quarter. This performance was slightly better than the low-end of the Company’s guidance included in its 2024 third quarter earnings release slide presentation, dated October 29, 2024. Truck revenue per load increased 3.1% in the 2024 fourth quarter as compared to the 2023 fourth quarter, in the upper half of the range of the Company’s previously provided guidance. While actual fourth quarter revenue exceeded the mid-point of the Company’s previously issued guidance, basic and diluted earnings per share fell below the mid-point of the guidance, primarily attributable to a lower than anticipated variable contribution margin and elevated insurance and claim costs, partially offset by a lower than anticipated effective income tax rate. Insurance and claims costs were 6.7% of BCO revenue during the 2024 fourth quarter, well above the Company’s average historical experience from the 2019 fiscal year through the 2023 fiscal year of 4.7%, primarily driven by both increased cargo claim costs related to fraud and theft in the supply chain and increased auto liability claim costs.</w:t>
      </w:r>
    </w:p>
    <w:p>
      <w:pPr>
        <w:sectPr>
          <w:pgSz w:w="11900" w:h="16838" w:orient="portrait"/>
          <w:cols w:equalWidth="0" w:num="1">
            <w:col w:w="9019"/>
          </w:cols>
          <w:pgMar w:left="1440" w:top="231"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SYSTEM/3</w:t>
      </w:r>
    </w:p>
    <w:p>
      <w:pPr>
        <w:spacing w:after="0" w:line="106" w:lineRule="exact"/>
        <w:rPr>
          <w:sz w:val="20"/>
          <w:szCs w:val="20"/>
          <w:color w:val="auto"/>
        </w:rPr>
      </w:pPr>
    </w:p>
    <w:p>
      <w:pPr>
        <w:ind w:left="640" w:right="739"/>
        <w:spacing w:after="0" w:line="279" w:lineRule="auto"/>
        <w:rPr>
          <w:sz w:val="20"/>
          <w:szCs w:val="20"/>
          <w:color w:val="auto"/>
        </w:rPr>
      </w:pPr>
      <w:r>
        <w:rPr>
          <w:rFonts w:ascii="Times New Roman" w:cs="Times New Roman" w:eastAsia="Times New Roman" w:hAnsi="Times New Roman"/>
          <w:sz w:val="12"/>
          <w:szCs w:val="12"/>
          <w:color w:val="auto"/>
        </w:rPr>
        <w:t>Gross profit in the 2024 fourth quarter was $109 million and variable contribution (defined as revenue less the cost of purchased transportation and commissions to agents) in the 2024 fourth quarter was $167 million. Gross profit in the 2023 fourth quarter was $125 million and variable contribution in the 2023 fourth quarter was $178 million. Reconciliations of gross profit to variable contribution and gross profit margin to variable contribution margin for the 2024 and 2023 fourth quarters and year-to-date periods are provided in the Company’s accompanying financial disclosures.</w:t>
      </w:r>
    </w:p>
    <w:p>
      <w:pPr>
        <w:spacing w:after="0" w:line="116" w:lineRule="exact"/>
        <w:rPr>
          <w:sz w:val="20"/>
          <w:szCs w:val="20"/>
          <w:color w:val="auto"/>
        </w:rPr>
      </w:pPr>
    </w:p>
    <w:p>
      <w:pPr>
        <w:jc w:val="both"/>
        <w:ind w:left="640" w:right="879"/>
        <w:spacing w:after="0" w:line="255" w:lineRule="auto"/>
        <w:rPr>
          <w:sz w:val="20"/>
          <w:szCs w:val="20"/>
          <w:color w:val="auto"/>
        </w:rPr>
      </w:pPr>
      <w:r>
        <w:rPr>
          <w:rFonts w:ascii="Times New Roman" w:cs="Times New Roman" w:eastAsia="Times New Roman" w:hAnsi="Times New Roman"/>
          <w:sz w:val="13"/>
          <w:szCs w:val="13"/>
          <w:color w:val="auto"/>
        </w:rPr>
        <w:t>The Company’s balance sheet continues to be very strong, with cash and short-term investments of approximately $567 million as of December 28, 2024. Trailing twelve-month return on average shareholders’ equity was 20%, and return on invested capital, representing net income divided by the sum of average equity plus average debt, was 18%.</w:t>
      </w:r>
    </w:p>
    <w:p>
      <w:pPr>
        <w:spacing w:after="0" w:line="130" w:lineRule="exact"/>
        <w:rPr>
          <w:sz w:val="20"/>
          <w:szCs w:val="20"/>
          <w:color w:val="auto"/>
        </w:rPr>
      </w:pPr>
    </w:p>
    <w:p>
      <w:pPr>
        <w:ind w:left="640" w:right="1219"/>
        <w:spacing w:after="0" w:line="286" w:lineRule="auto"/>
        <w:rPr>
          <w:sz w:val="20"/>
          <w:szCs w:val="20"/>
          <w:color w:val="auto"/>
        </w:rPr>
      </w:pPr>
      <w:r>
        <w:rPr>
          <w:rFonts w:ascii="Times New Roman" w:cs="Times New Roman" w:eastAsia="Times New Roman" w:hAnsi="Times New Roman"/>
          <w:sz w:val="12"/>
          <w:szCs w:val="12"/>
          <w:color w:val="auto"/>
        </w:rPr>
        <w:t>Landstar will provide a live webcast of its quarterly earnings conference call this evening at 4:30 p.m. ET. To access the webcast, visit www.investor.landstar.com; click on “Webcasts,” then click on “Landstar’s Fourth Quarter 2024 Earnings Release Conference Call.” A slide presentation to accompany the webcast presentation is also available on Landstar’s investor relations website at https://investor.landstar.com/.</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Contact:</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Jim Todd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904-398-9400</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About Landstar:</w:t>
      </w:r>
    </w:p>
    <w:p>
      <w:pPr>
        <w:spacing w:after="0" w:line="80" w:lineRule="exact"/>
        <w:rPr>
          <w:sz w:val="20"/>
          <w:szCs w:val="20"/>
          <w:color w:val="auto"/>
        </w:rPr>
      </w:pPr>
    </w:p>
    <w:p>
      <w:pPr>
        <w:ind w:left="640" w:right="939"/>
        <w:spacing w:after="0" w:line="259" w:lineRule="auto"/>
        <w:rPr>
          <w:sz w:val="20"/>
          <w:szCs w:val="20"/>
          <w:color w:val="auto"/>
        </w:rPr>
      </w:pPr>
      <w:r>
        <w:rPr>
          <w:rFonts w:ascii="Times New Roman" w:cs="Times New Roman" w:eastAsia="Times New Roman" w:hAnsi="Times New Roman"/>
          <w:sz w:val="13"/>
          <w:szCs w:val="13"/>
          <w:color w:val="auto"/>
        </w:rPr>
        <w:t>Landstar System, Inc., is a technology-enabled, asset-light provider of integrated transportation management solutions delivering safe, specialized transportation services to a broad range of customers utilizing a network of agents, third-party capacity providers and employees. Landstar transportation services companies are certified to ISO 9001:2015 quality management system standards and RC14001:2015 environmental, health, safety and security management system standards. Landstar System, Inc. is headquartered in Jacksonville, Florida. Its common stock trades on The NASDAQ Stock Market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under the symbol LSTR.</w:t>
      </w:r>
    </w:p>
    <w:p>
      <w:pPr>
        <w:sectPr>
          <w:pgSz w:w="11900" w:h="16838" w:orient="portrait"/>
          <w:cols w:equalWidth="0" w:num="1">
            <w:col w:w="9019"/>
          </w:cols>
          <w:pgMar w:left="1440" w:top="231"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SYSTEM/4</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Non-GAAP Financial Measures</w:t>
      </w:r>
      <w:r>
        <w:rPr>
          <w:rFonts w:ascii="Times New Roman" w:cs="Times New Roman" w:eastAsia="Times New Roman" w:hAnsi="Times New Roman"/>
          <w:sz w:val="13"/>
          <w:szCs w:val="13"/>
          <w:i w:val="1"/>
          <w:iCs w:val="1"/>
          <w:color w:val="auto"/>
        </w:rPr>
        <w:t>:</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In this earnings release and accompanying financial disclosures, the Company provides the following information that may be deemed non-GAAP financial measures: variable contribution and variable contribution margin. The Company believes variable contribution and variable contribution margin are useful measures of the variable costs that we incur at a shipment-by-shipment level attributable to our transportation network of third-party capacity providers and independent agents in order to provide services to our customers. The Company also believes that it is appropriate to present each of the financial measures that may be deemed a non-GAAP financial measure, as referred to above, for the following reasons: (1) disclosure of these matters will allow investors to better understand the underlying trends in the Company’s financial condition and results of operations; (2) this information will facilitate comparisons by investors of the Company’s results as compared to the results of peer companies; and (3) management considers this financial information in its decision making.</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Forward Looking Statements Disclaimer:</w:t>
      </w:r>
    </w:p>
    <w:p>
      <w:pPr>
        <w:spacing w:after="0" w:line="80" w:lineRule="exact"/>
        <w:rPr>
          <w:sz w:val="20"/>
          <w:szCs w:val="20"/>
          <w:color w:val="auto"/>
        </w:rPr>
      </w:pPr>
    </w:p>
    <w:p>
      <w:pPr>
        <w:ind w:left="640" w:right="659"/>
        <w:spacing w:after="0" w:line="271" w:lineRule="auto"/>
        <w:rPr>
          <w:sz w:val="20"/>
          <w:szCs w:val="20"/>
          <w:color w:val="auto"/>
        </w:rPr>
      </w:pPr>
      <w:r>
        <w:rPr>
          <w:rFonts w:ascii="Times New Roman" w:cs="Times New Roman" w:eastAsia="Times New Roman" w:hAnsi="Times New Roman"/>
          <w:sz w:val="12"/>
          <w:szCs w:val="12"/>
          <w:color w:val="auto"/>
        </w:rPr>
        <w:t>The following is a “safe harbor” statement under the Private Securities Litigation Reform Act of 1995. Statements contained in this press release that are not based on historical facts are “forward-looking statements.” This press release contains forward-looking statements, such as statements which relate to Landstar’s business objectives, plans, strategies and expectations. Terms such as “anticipates,” “believes,” “estimates,” “intention,” “expects,” “plans,” “predicts,” “may,” “should,” “could,” “will,” the negative thereof and similar expressions are intended to identify forward-looking statements. Such statements are by nature subject to uncertainties and risks, including but not limited to: an increase in the frequency or severity of accidents or other claims; unfavorable development of existing accident claims; dependence on third party insurance companies; dependence on independent commission sales agents; dependence on third party capacity providers; the impact of the Russian conflict with Ukraine on the operations</w:t>
      </w:r>
    </w:p>
    <w:p>
      <w:pPr>
        <w:sectPr>
          <w:pgSz w:w="11900" w:h="16838" w:orient="portrait"/>
          <w:cols w:equalWidth="0" w:num="1">
            <w:col w:w="9019"/>
          </w:cols>
          <w:pgMar w:left="1440" w:top="231"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SYSTEM/5</w:t>
      </w:r>
    </w:p>
    <w:p>
      <w:pPr>
        <w:spacing w:after="0" w:line="106"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of certain independent commission sales agents, including the Company’s largest such agent by revenue in the 2023 fiscal year; decreased demand for transportation services; U.S. trade relationships; substantial industry competition; disruptions or failures in the Company’s computer systems; cyber and other information security incidents; dependence on key vendors; potential changes in taxes; status of independent contractors; regulatory and legislative changes; regulations focused on diesel emissions and other air quality matters; regulations requiring the purchase and use of zero-emission vehicles; intellectual property; and other operational, financial or legal risks or uncertainties detailed in Landstar’s Form 10-K for the 2023 fiscal year, described in Item 1A Risk Factors, and in other SEC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w:t>
      </w:r>
    </w:p>
    <w:p>
      <w:pPr>
        <w:sectPr>
          <w:pgSz w:w="11900" w:h="16838" w:orient="portrait"/>
          <w:cols w:equalWidth="0" w:num="1">
            <w:col w:w="9019"/>
          </w:cols>
          <w:pgMar w:left="1440" w:top="231"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SYSTEM/6</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Landstar System, Inc. and Subsidiary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Income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amounts)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60" w:type="dxa"/>
            <w:vAlign w:val="bottom"/>
            <w:gridSpan w:val="6"/>
          </w:tcPr>
          <w:p>
            <w:pPr>
              <w:jc w:val="right"/>
              <w:ind w:right="480"/>
              <w:spacing w:after="0"/>
              <w:rPr>
                <w:sz w:val="20"/>
                <w:szCs w:val="20"/>
                <w:color w:val="auto"/>
              </w:rPr>
            </w:pPr>
            <w:r>
              <w:rPr>
                <w:rFonts w:ascii="Times New Roman" w:cs="Times New Roman" w:eastAsia="Times New Roman" w:hAnsi="Times New Roman"/>
                <w:sz w:val="10"/>
                <w:szCs w:val="10"/>
                <w:color w:val="auto"/>
              </w:rPr>
              <w:t>Fiscal Years Ended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5"/>
          </w:tcPr>
          <w:p>
            <w:pPr>
              <w:jc w:val="right"/>
              <w:ind w:right="380"/>
              <w:spacing w:after="0"/>
              <w:rPr>
                <w:sz w:val="20"/>
                <w:szCs w:val="20"/>
                <w:color w:val="auto"/>
              </w:rPr>
            </w:pPr>
            <w:r>
              <w:rPr>
                <w:rFonts w:ascii="Times New Roman" w:cs="Times New Roman" w:eastAsia="Times New Roman" w:hAnsi="Times New Roman"/>
                <w:sz w:val="10"/>
                <w:szCs w:val="10"/>
                <w:color w:val="auto"/>
              </w:rPr>
              <w:t>Fiscal Quarters Ended</w:t>
            </w:r>
          </w:p>
        </w:tc>
      </w:tr>
      <w:tr>
        <w:trPr>
          <w:trHeight w:val="79"/>
        </w:trPr>
        <w:tc>
          <w:tcPr>
            <w:tcW w:w="4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top w:val="single" w:sz="8" w:color="auto"/>
            </w:tcBorders>
            <w:gridSpan w:val="4"/>
          </w:tcPr>
          <w:p>
            <w:pPr>
              <w:jc w:val="right"/>
              <w:ind w:right="260"/>
              <w:spacing w:after="0" w:line="79" w:lineRule="exact"/>
              <w:rPr>
                <w:sz w:val="20"/>
                <w:szCs w:val="20"/>
                <w:color w:val="auto"/>
              </w:rPr>
            </w:pPr>
            <w:r>
              <w:rPr>
                <w:rFonts w:ascii="Times New Roman" w:cs="Times New Roman" w:eastAsia="Times New Roman" w:hAnsi="Times New Roman"/>
                <w:sz w:val="9"/>
                <w:szCs w:val="9"/>
                <w:color w:val="auto"/>
              </w:rPr>
              <w:t>December 28,</w:t>
            </w:r>
          </w:p>
        </w:tc>
        <w:tc>
          <w:tcPr>
            <w:tcW w:w="620" w:type="dxa"/>
            <w:vAlign w:val="bottom"/>
            <w:tcBorders>
              <w:top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9"/>
                <w:szCs w:val="9"/>
                <w:color w:val="auto"/>
              </w:rPr>
              <w:t>December 30,</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top w:val="single" w:sz="8" w:color="auto"/>
            </w:tcBorders>
            <w:gridSpan w:val="3"/>
          </w:tcPr>
          <w:p>
            <w:pPr>
              <w:jc w:val="right"/>
              <w:ind w:right="260"/>
              <w:spacing w:after="0" w:line="79" w:lineRule="exact"/>
              <w:rPr>
                <w:sz w:val="20"/>
                <w:szCs w:val="20"/>
                <w:color w:val="auto"/>
              </w:rPr>
            </w:pPr>
            <w:r>
              <w:rPr>
                <w:rFonts w:ascii="Times New Roman" w:cs="Times New Roman" w:eastAsia="Times New Roman" w:hAnsi="Times New Roman"/>
                <w:sz w:val="9"/>
                <w:szCs w:val="9"/>
                <w:color w:val="auto"/>
              </w:rPr>
              <w:t>December 28,</w:t>
            </w:r>
          </w:p>
        </w:tc>
        <w:tc>
          <w:tcPr>
            <w:tcW w:w="640" w:type="dxa"/>
            <w:vAlign w:val="bottom"/>
            <w:tcBorders>
              <w:top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9"/>
                <w:szCs w:val="9"/>
                <w:color w:val="auto"/>
              </w:rPr>
              <w:t>December 30,</w:t>
            </w:r>
          </w:p>
        </w:tc>
        <w:tc>
          <w:tcPr>
            <w:tcW w:w="80" w:type="dxa"/>
            <w:vAlign w:val="bottom"/>
          </w:tcPr>
          <w:p>
            <w:pPr>
              <w:spacing w:after="0"/>
              <w:rPr>
                <w:sz w:val="6"/>
                <w:szCs w:val="6"/>
                <w:color w:val="auto"/>
              </w:rPr>
            </w:pPr>
          </w:p>
        </w:tc>
      </w:tr>
      <w:tr>
        <w:trPr>
          <w:trHeight w:val="119"/>
        </w:trPr>
        <w:tc>
          <w:tcPr>
            <w:tcW w:w="44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0"/>
                <w:szCs w:val="10"/>
                <w:color w:val="auto"/>
              </w:rPr>
              <w:t>2024</w:t>
            </w:r>
          </w:p>
        </w:tc>
        <w:tc>
          <w:tcPr>
            <w:tcW w:w="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0"/>
                <w:szCs w:val="10"/>
                <w:color w:val="auto"/>
              </w:rPr>
              <w:t>2023</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0"/>
                <w:szCs w:val="10"/>
                <w:color w:val="auto"/>
              </w:rPr>
              <w:t>2024</w:t>
            </w:r>
          </w:p>
        </w:tc>
        <w:tc>
          <w:tcPr>
            <w:tcW w:w="2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0"/>
                <w:szCs w:val="10"/>
                <w:color w:val="auto"/>
              </w:rPr>
              <w:t>2023</w:t>
            </w:r>
          </w:p>
        </w:tc>
        <w:tc>
          <w:tcPr>
            <w:tcW w:w="80" w:type="dxa"/>
            <w:vAlign w:val="bottom"/>
            <w:tcBorders>
              <w:bottom w:val="single" w:sz="8" w:color="CCEEFF"/>
            </w:tcBorders>
          </w:tcPr>
          <w:p>
            <w:pPr>
              <w:spacing w:after="0"/>
              <w:rPr>
                <w:sz w:val="10"/>
                <w:szCs w:val="10"/>
                <w:color w:val="auto"/>
              </w:rPr>
            </w:pPr>
          </w:p>
        </w:tc>
      </w:tr>
      <w:tr>
        <w:trPr>
          <w:trHeight w:val="141"/>
        </w:trPr>
        <w:tc>
          <w:tcPr>
            <w:tcW w:w="44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4,819,245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5,303,322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1,209,330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1,204,445</w:t>
            </w:r>
          </w:p>
        </w:tc>
        <w:tc>
          <w:tcPr>
            <w:tcW w:w="80" w:type="dxa"/>
            <w:vAlign w:val="bottom"/>
            <w:shd w:val="clear" w:color="auto" w:fill="CCEEFF"/>
          </w:tcPr>
          <w:p>
            <w:pPr>
              <w:spacing w:after="0"/>
              <w:rPr>
                <w:sz w:val="12"/>
                <w:szCs w:val="12"/>
                <w:color w:val="auto"/>
              </w:rPr>
            </w:pPr>
          </w:p>
        </w:tc>
      </w:tr>
      <w:tr>
        <w:trPr>
          <w:trHeight w:val="152"/>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income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14,810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10,141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3,822</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3,267</w:t>
            </w:r>
          </w:p>
        </w:tc>
      </w:tr>
      <w:tr>
        <w:trPr>
          <w:trHeight w:val="15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4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Purchased transportation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3,745,241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4,068,262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945,857</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927,028</w:t>
            </w:r>
          </w:p>
        </w:tc>
      </w:tr>
      <w:tr>
        <w:trPr>
          <w:trHeight w:val="152"/>
        </w:trPr>
        <w:tc>
          <w:tcPr>
            <w:tcW w:w="4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Commissions to agents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392,751</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462,668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96,950</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99,271</w:t>
            </w:r>
          </w:p>
        </w:tc>
      </w:tr>
      <w:tr>
        <w:trPr>
          <w:trHeight w:val="152"/>
        </w:trPr>
        <w:tc>
          <w:tcPr>
            <w:tcW w:w="4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operating costs, net of gains on asset sales/dispositions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58,781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54,191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14,643</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13,193</w:t>
            </w:r>
          </w:p>
        </w:tc>
      </w:tr>
      <w:tr>
        <w:trPr>
          <w:trHeight w:val="152"/>
        </w:trPr>
        <w:tc>
          <w:tcPr>
            <w:tcW w:w="4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Insurance and claims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113,929</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114,241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30,099</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27,270</w:t>
            </w:r>
          </w:p>
        </w:tc>
      </w:tr>
      <w:tr>
        <w:trPr>
          <w:trHeight w:val="152"/>
        </w:trPr>
        <w:tc>
          <w:tcPr>
            <w:tcW w:w="4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217,708</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211,799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55,095</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52,728</w:t>
            </w:r>
          </w:p>
        </w:tc>
      </w:tr>
      <w:tr>
        <w:trPr>
          <w:trHeight w:val="152"/>
        </w:trPr>
        <w:tc>
          <w:tcPr>
            <w:tcW w:w="4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56,738</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58,153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12,737</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13,655</w:t>
            </w:r>
          </w:p>
        </w:tc>
      </w:tr>
      <w:tr>
        <w:trPr>
          <w:trHeight w:val="151"/>
        </w:trPr>
        <w:tc>
          <w:tcPr>
            <w:tcW w:w="44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costs and expenses</w:t>
            </w:r>
          </w:p>
        </w:tc>
        <w:tc>
          <w:tcPr>
            <w:tcW w:w="2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4,585,148</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4,969,314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1,155,381</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1,133,145</w:t>
            </w:r>
          </w:p>
        </w:tc>
        <w:tc>
          <w:tcPr>
            <w:tcW w:w="80" w:type="dxa"/>
            <w:vAlign w:val="bottom"/>
          </w:tcPr>
          <w:p>
            <w:pPr>
              <w:spacing w:after="0"/>
              <w:rPr>
                <w:sz w:val="13"/>
                <w:szCs w:val="13"/>
                <w:color w:val="auto"/>
              </w:rPr>
            </w:pPr>
          </w:p>
        </w:tc>
      </w:tr>
      <w:tr>
        <w:trPr>
          <w:trHeight w:val="151"/>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248,907</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344,149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57,771</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74,567</w:t>
            </w:r>
          </w:p>
        </w:tc>
      </w:tr>
      <w:tr>
        <w:trPr>
          <w:trHeight w:val="152"/>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debt (income) expense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(5,419)</w:t>
            </w:r>
          </w:p>
        </w:tc>
        <w:tc>
          <w:tcPr>
            <w:tcW w:w="6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(3,946)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(964)</w:t>
            </w: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(1,867)</w:t>
            </w: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254,326</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348,095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58,735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76,434</w:t>
            </w:r>
          </w:p>
        </w:tc>
      </w:tr>
      <w:tr>
        <w:trPr>
          <w:trHeight w:val="152"/>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58,380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83,701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12,542</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18,447</w:t>
            </w: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195,946</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264,394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46,193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57,987</w:t>
            </w:r>
          </w:p>
        </w:tc>
      </w:tr>
      <w:tr>
        <w:trPr>
          <w:trHeight w:val="170"/>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Basic and diluted earnings per share</w:t>
            </w:r>
          </w:p>
        </w:tc>
        <w:tc>
          <w:tcPr>
            <w:tcW w:w="20" w:type="dxa"/>
            <w:vAlign w:val="bottom"/>
          </w:tcPr>
          <w:p>
            <w:pPr>
              <w:spacing w:after="0"/>
              <w:rPr>
                <w:sz w:val="14"/>
                <w:szCs w:val="14"/>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tcPr>
          <w:p>
            <w:pPr>
              <w:spacing w:after="0"/>
              <w:rPr>
                <w:sz w:val="14"/>
                <w:szCs w:val="14"/>
                <w:color w:val="auto"/>
              </w:rPr>
            </w:pPr>
          </w:p>
        </w:tc>
      </w:tr>
      <w:tr>
        <w:trPr>
          <w:trHeight w:val="17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Average basic and diluted shares outstanding</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5"/>
              </w:rPr>
              <w:t>35,538,000</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2"/>
              </w:rPr>
              <w:t>35,920,000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35,328,000</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5"/>
              </w:rPr>
              <w:t>35,804,000</w:t>
            </w:r>
          </w:p>
        </w:tc>
      </w:tr>
      <w:tr>
        <w:trPr>
          <w:trHeight w:val="170"/>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Dividends per common share</w:t>
            </w:r>
          </w:p>
        </w:tc>
        <w:tc>
          <w:tcPr>
            <w:tcW w:w="20" w:type="dxa"/>
            <w:vAlign w:val="bottom"/>
            <w:tcBorders>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2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tcPr>
          <w:p>
            <w:pPr>
              <w:spacing w:after="0"/>
              <w:rPr>
                <w:sz w:val="14"/>
                <w:szCs w:val="14"/>
                <w:color w:val="auto"/>
              </w:rPr>
            </w:pPr>
          </w:p>
        </w:tc>
      </w:tr>
    </w:tbl>
    <w:p>
      <w:pPr>
        <w:sectPr>
          <w:pgSz w:w="11900" w:h="16838" w:orient="portrait"/>
          <w:cols w:equalWidth="0" w:num="1">
            <w:col w:w="9019"/>
          </w:cols>
          <w:pgMar w:left="1440" w:top="229" w:right="1440"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SYSTEM/7</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Landstar System, Inc. and Subsidiary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amounts)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4"/>
          </w:tcPr>
          <w:p>
            <w:pPr>
              <w:jc w:val="right"/>
              <w:ind w:right="260"/>
              <w:spacing w:after="0"/>
              <w:rPr>
                <w:sz w:val="20"/>
                <w:szCs w:val="20"/>
                <w:color w:val="auto"/>
              </w:rPr>
            </w:pPr>
            <w:r>
              <w:rPr>
                <w:rFonts w:ascii="Times New Roman" w:cs="Times New Roman" w:eastAsia="Times New Roman" w:hAnsi="Times New Roman"/>
                <w:sz w:val="10"/>
                <w:szCs w:val="10"/>
                <w:color w:val="auto"/>
                <w:w w:val="96"/>
              </w:rPr>
              <w:t>December 28,</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December 30,</w:t>
            </w:r>
          </w:p>
        </w:tc>
      </w:tr>
      <w:tr>
        <w:trPr>
          <w:trHeight w:val="119"/>
        </w:trPr>
        <w:tc>
          <w:tcPr>
            <w:tcW w:w="62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color w:val="auto"/>
              </w:rPr>
              <w:t>2024</w:t>
            </w:r>
          </w:p>
        </w:tc>
        <w:tc>
          <w:tcPr>
            <w:tcW w:w="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color w:val="auto"/>
              </w:rPr>
              <w:t>2023</w:t>
            </w:r>
          </w:p>
        </w:tc>
        <w:tc>
          <w:tcPr>
            <w:tcW w:w="80" w:type="dxa"/>
            <w:vAlign w:val="bottom"/>
            <w:tcBorders>
              <w:bottom w:val="single" w:sz="8" w:color="CCEEFF"/>
            </w:tcBorders>
          </w:tcPr>
          <w:p>
            <w:pPr>
              <w:spacing w:after="0"/>
              <w:rPr>
                <w:sz w:val="10"/>
                <w:szCs w:val="10"/>
                <w:color w:val="auto"/>
              </w:rPr>
            </w:pPr>
          </w:p>
        </w:tc>
      </w:tr>
      <w:tr>
        <w:trPr>
          <w:trHeight w:val="132"/>
        </w:trPr>
        <w:tc>
          <w:tcPr>
            <w:tcW w:w="62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ASSETS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515,018</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481,043</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Short-term investments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51,619</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59,661</w:t>
            </w: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Trade accounts receivable, less allowance of $12,904 and $11,738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683,841</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743,762</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receivables, including advances to independent contractors, less allowance of $17,812 and $14,010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47,160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43,339</w:t>
            </w: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assets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22,229</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24,936</w:t>
            </w:r>
          </w:p>
        </w:tc>
      </w:tr>
      <w:tr>
        <w:trPr>
          <w:trHeight w:val="159"/>
        </w:trPr>
        <w:tc>
          <w:tcPr>
            <w:tcW w:w="62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current assets</w:t>
            </w:r>
          </w:p>
        </w:tc>
        <w:tc>
          <w:tcPr>
            <w:tcW w:w="2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1,319,867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1,352,741</w:t>
            </w:r>
          </w:p>
        </w:tc>
        <w:tc>
          <w:tcPr>
            <w:tcW w:w="80" w:type="dxa"/>
            <w:vAlign w:val="bottom"/>
          </w:tcPr>
          <w:p>
            <w:pPr>
              <w:spacing w:after="0"/>
              <w:rPr>
                <w:sz w:val="13"/>
                <w:szCs w:val="13"/>
                <w:color w:val="auto"/>
              </w:rPr>
            </w:pPr>
          </w:p>
        </w:tc>
      </w:tr>
      <w:tr>
        <w:trPr>
          <w:trHeight w:val="161"/>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property, less accumulated depreciation and amortization of $456,547 and $436,682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311,345</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284,300</w:t>
            </w:r>
          </w:p>
        </w:tc>
      </w:tr>
      <w:tr>
        <w:trPr>
          <w:trHeight w:val="152"/>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40,933</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42,275</w:t>
            </w:r>
          </w:p>
        </w:tc>
      </w:tr>
      <w:tr>
        <w:trPr>
          <w:trHeight w:val="152"/>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141,166</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122,530</w:t>
            </w:r>
          </w:p>
        </w:tc>
      </w:tr>
      <w:tr>
        <w:trPr>
          <w:trHeight w:val="159"/>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20" w:type="dxa"/>
            <w:vAlign w:val="bottom"/>
          </w:tcPr>
          <w:p>
            <w:pPr>
              <w:spacing w:after="0"/>
              <w:rPr>
                <w:sz w:val="13"/>
                <w:szCs w:val="13"/>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1,813,311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1,801,846</w:t>
            </w:r>
          </w:p>
        </w:tc>
        <w:tc>
          <w:tcPr>
            <w:tcW w:w="80" w:type="dxa"/>
            <w:vAlign w:val="bottom"/>
          </w:tcPr>
          <w:p>
            <w:pPr>
              <w:spacing w:after="0"/>
              <w:rPr>
                <w:sz w:val="13"/>
                <w:szCs w:val="13"/>
                <w:color w:val="auto"/>
              </w:rPr>
            </w:pPr>
          </w:p>
        </w:tc>
      </w:tr>
      <w:tr>
        <w:trPr>
          <w:trHeight w:val="161"/>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 AND SHAREHOLDERS’ EQUITY</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overdraft</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61,033</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61,541</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383,625</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395,980</w:t>
            </w: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33,116</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27,876</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Insurance claims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40,511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41,825</w:t>
            </w: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Dividends payable</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70,632</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71,433</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84,237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76,569</w:t>
            </w:r>
          </w:p>
        </w:tc>
        <w:tc>
          <w:tcPr>
            <w:tcW w:w="80" w:type="dxa"/>
            <w:vAlign w:val="bottom"/>
          </w:tcPr>
          <w:p>
            <w:pPr>
              <w:spacing w:after="0"/>
              <w:rPr>
                <w:sz w:val="13"/>
                <w:szCs w:val="13"/>
                <w:color w:val="auto"/>
              </w:rPr>
            </w:pPr>
          </w:p>
        </w:tc>
      </w:tr>
      <w:tr>
        <w:trPr>
          <w:trHeight w:val="151"/>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673,154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675,224</w:t>
            </w:r>
          </w:p>
        </w:tc>
      </w:tr>
      <w:tr>
        <w:trPr>
          <w:trHeight w:val="151"/>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excluding current maturities</w:t>
            </w:r>
          </w:p>
        </w:tc>
        <w:tc>
          <w:tcPr>
            <w:tcW w:w="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69,191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43,264</w:t>
            </w:r>
          </w:p>
        </w:tc>
        <w:tc>
          <w:tcPr>
            <w:tcW w:w="80" w:type="dxa"/>
            <w:vAlign w:val="bottom"/>
          </w:tcPr>
          <w:p>
            <w:pPr>
              <w:spacing w:after="0"/>
              <w:rPr>
                <w:sz w:val="13"/>
                <w:szCs w:val="13"/>
                <w:color w:val="auto"/>
              </w:rPr>
            </w:pPr>
          </w:p>
        </w:tc>
      </w:tr>
      <w:tr>
        <w:trPr>
          <w:trHeight w:val="152"/>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Insurance claims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62,842</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58,922</w:t>
            </w:r>
          </w:p>
        </w:tc>
      </w:tr>
      <w:tr>
        <w:trPr>
          <w:trHeight w:val="152"/>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Deferred income taxes and other non-current liabilities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35,685</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40,513</w:t>
            </w:r>
          </w:p>
        </w:tc>
      </w:tr>
      <w:tr>
        <w:trPr>
          <w:trHeight w:val="152"/>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Shareholders’ equity:</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Common stock, $0.01 par value, authorized 160,000,000 shares, issued 68,559,269 and 68,497,324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686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685</w:t>
            </w: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255,260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254,642</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Retained earnings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2,859,916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2,783,645</w:t>
            </w: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Cost of 33,243,196 and 32,780,651 shares of common stock in treasury</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5"/>
              </w:rPr>
              <w:t>(2,131,413)</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(2,048,184)</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(12,010)</w:t>
            </w:r>
          </w:p>
        </w:tc>
        <w:tc>
          <w:tcPr>
            <w:tcW w:w="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(6,865)</w:t>
            </w:r>
          </w:p>
        </w:tc>
      </w:tr>
      <w:tr>
        <w:trPr>
          <w:trHeight w:val="151"/>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20" w:type="dxa"/>
            <w:vAlign w:val="bottom"/>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972,439</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983,923</w:t>
            </w:r>
          </w:p>
        </w:tc>
        <w:tc>
          <w:tcPr>
            <w:tcW w:w="80" w:type="dxa"/>
            <w:vAlign w:val="bottom"/>
            <w:shd w:val="clear" w:color="auto" w:fill="CCEEFF"/>
          </w:tcPr>
          <w:p>
            <w:pPr>
              <w:spacing w:after="0"/>
              <w:rPr>
                <w:sz w:val="13"/>
                <w:szCs w:val="13"/>
                <w:color w:val="auto"/>
              </w:rPr>
            </w:pPr>
          </w:p>
        </w:tc>
      </w:tr>
      <w:tr>
        <w:trPr>
          <w:trHeight w:val="159"/>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1,813,311</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1,801,846</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29" w:right="1440"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SYSTEM/8</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Landstar System, Inc. and Subsidiary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Supplemental Information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gridSpan w:val="6"/>
          </w:tcPr>
          <w:p>
            <w:pPr>
              <w:jc w:val="right"/>
              <w:ind w:right="600"/>
              <w:spacing w:after="0"/>
              <w:rPr>
                <w:sz w:val="20"/>
                <w:szCs w:val="20"/>
                <w:color w:val="auto"/>
              </w:rPr>
            </w:pPr>
            <w:r>
              <w:rPr>
                <w:rFonts w:ascii="Times New Roman" w:cs="Times New Roman" w:eastAsia="Times New Roman" w:hAnsi="Times New Roman"/>
                <w:sz w:val="10"/>
                <w:szCs w:val="10"/>
                <w:color w:val="auto"/>
              </w:rPr>
              <w:t>Fiscal Years Ended</w:t>
            </w:r>
          </w:p>
        </w:tc>
        <w:tc>
          <w:tcPr>
            <w:tcW w:w="60" w:type="dxa"/>
            <w:vAlign w:val="bottom"/>
          </w:tcPr>
          <w:p>
            <w:pPr>
              <w:spacing w:after="0"/>
              <w:rPr>
                <w:sz w:val="10"/>
                <w:szCs w:val="10"/>
                <w:color w:val="auto"/>
              </w:rPr>
            </w:pPr>
          </w:p>
        </w:tc>
        <w:tc>
          <w:tcPr>
            <w:tcW w:w="1520" w:type="dxa"/>
            <w:vAlign w:val="bottom"/>
            <w:gridSpan w:val="5"/>
          </w:tcPr>
          <w:p>
            <w:pPr>
              <w:jc w:val="right"/>
              <w:ind w:right="420"/>
              <w:spacing w:after="0"/>
              <w:rPr>
                <w:sz w:val="20"/>
                <w:szCs w:val="20"/>
                <w:color w:val="auto"/>
              </w:rPr>
            </w:pPr>
            <w:r>
              <w:rPr>
                <w:rFonts w:ascii="Times New Roman" w:cs="Times New Roman" w:eastAsia="Times New Roman" w:hAnsi="Times New Roman"/>
                <w:sz w:val="10"/>
                <w:szCs w:val="10"/>
                <w:color w:val="auto"/>
              </w:rPr>
              <w:t>Fiscal Quarters Ended</w:t>
            </w:r>
          </w:p>
        </w:tc>
      </w:tr>
      <w:tr>
        <w:trPr>
          <w:trHeight w:val="79"/>
        </w:trPr>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700" w:type="dxa"/>
            <w:vAlign w:val="bottom"/>
            <w:tcBorders>
              <w:top w:val="single" w:sz="8" w:color="auto"/>
            </w:tcBorders>
            <w:gridSpan w:val="3"/>
          </w:tcPr>
          <w:p>
            <w:pPr>
              <w:spacing w:after="0" w:line="79" w:lineRule="exact"/>
              <w:rPr>
                <w:sz w:val="20"/>
                <w:szCs w:val="20"/>
                <w:color w:val="auto"/>
              </w:rPr>
            </w:pPr>
            <w:r>
              <w:rPr>
                <w:rFonts w:ascii="Times New Roman" w:cs="Times New Roman" w:eastAsia="Times New Roman" w:hAnsi="Times New Roman"/>
                <w:sz w:val="9"/>
                <w:szCs w:val="9"/>
                <w:color w:val="auto"/>
              </w:rPr>
              <w:t>December 28,</w:t>
            </w: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gridSpan w:val="2"/>
          </w:tcPr>
          <w:p>
            <w:pPr>
              <w:ind w:left="20"/>
              <w:spacing w:after="0" w:line="79" w:lineRule="exact"/>
              <w:rPr>
                <w:sz w:val="20"/>
                <w:szCs w:val="20"/>
                <w:color w:val="auto"/>
              </w:rPr>
            </w:pPr>
            <w:r>
              <w:rPr>
                <w:rFonts w:ascii="Times New Roman" w:cs="Times New Roman" w:eastAsia="Times New Roman" w:hAnsi="Times New Roman"/>
                <w:sz w:val="9"/>
                <w:szCs w:val="9"/>
                <w:color w:val="auto"/>
              </w:rPr>
              <w:t>December 30,</w:t>
            </w:r>
          </w:p>
        </w:tc>
        <w:tc>
          <w:tcPr>
            <w:tcW w:w="280" w:type="dxa"/>
            <w:vAlign w:val="bottom"/>
          </w:tcPr>
          <w:p>
            <w:pPr>
              <w:spacing w:after="0"/>
              <w:rPr>
                <w:sz w:val="6"/>
                <w:szCs w:val="6"/>
                <w:color w:val="auto"/>
              </w:rPr>
            </w:pPr>
          </w:p>
        </w:tc>
        <w:tc>
          <w:tcPr>
            <w:tcW w:w="860" w:type="dxa"/>
            <w:vAlign w:val="bottom"/>
            <w:tcBorders>
              <w:top w:val="single" w:sz="8" w:color="auto"/>
            </w:tcBorders>
            <w:gridSpan w:val="3"/>
          </w:tcPr>
          <w:p>
            <w:pPr>
              <w:spacing w:after="0" w:line="79" w:lineRule="exact"/>
              <w:rPr>
                <w:sz w:val="20"/>
                <w:szCs w:val="20"/>
                <w:color w:val="auto"/>
              </w:rPr>
            </w:pPr>
            <w:r>
              <w:rPr>
                <w:rFonts w:ascii="Times New Roman" w:cs="Times New Roman" w:eastAsia="Times New Roman" w:hAnsi="Times New Roman"/>
                <w:sz w:val="9"/>
                <w:szCs w:val="9"/>
                <w:color w:val="auto"/>
              </w:rPr>
              <w:t>December 28,</w:t>
            </w:r>
          </w:p>
        </w:tc>
        <w:tc>
          <w:tcPr>
            <w:tcW w:w="560" w:type="dxa"/>
            <w:vAlign w:val="bottom"/>
            <w:tcBorders>
              <w:top w:val="single" w:sz="8" w:color="auto"/>
            </w:tcBorders>
            <w:gridSpan w:val="2"/>
          </w:tcPr>
          <w:p>
            <w:pPr>
              <w:spacing w:after="0" w:line="79" w:lineRule="exact"/>
              <w:rPr>
                <w:sz w:val="20"/>
                <w:szCs w:val="20"/>
                <w:color w:val="auto"/>
              </w:rPr>
            </w:pPr>
            <w:r>
              <w:rPr>
                <w:rFonts w:ascii="Times New Roman" w:cs="Times New Roman" w:eastAsia="Times New Roman" w:hAnsi="Times New Roman"/>
                <w:sz w:val="9"/>
                <w:szCs w:val="9"/>
                <w:color w:val="auto"/>
              </w:rPr>
              <w:t>December 30,</w:t>
            </w:r>
          </w:p>
        </w:tc>
        <w:tc>
          <w:tcPr>
            <w:tcW w:w="160" w:type="dxa"/>
            <w:vAlign w:val="bottom"/>
          </w:tcPr>
          <w:p>
            <w:pPr>
              <w:spacing w:after="0"/>
              <w:rPr>
                <w:sz w:val="6"/>
                <w:szCs w:val="6"/>
                <w:color w:val="auto"/>
              </w:rPr>
            </w:pPr>
          </w:p>
        </w:tc>
      </w:tr>
      <w:tr>
        <w:trPr>
          <w:trHeight w:val="119"/>
        </w:trPr>
        <w:tc>
          <w:tcPr>
            <w:tcW w:w="8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260" w:type="dxa"/>
            <w:vAlign w:val="bottom"/>
            <w:tcBorders>
              <w:bottom w:val="single" w:sz="8" w:color="CCEEFF"/>
            </w:tcBorders>
          </w:tcPr>
          <w:p>
            <w:pPr>
              <w:spacing w:after="0"/>
              <w:rPr>
                <w:sz w:val="10"/>
                <w:szCs w:val="10"/>
                <w:color w:val="auto"/>
              </w:rPr>
            </w:pPr>
          </w:p>
        </w:tc>
        <w:tc>
          <w:tcPr>
            <w:tcW w:w="22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0"/>
                <w:szCs w:val="10"/>
                <w:color w:val="auto"/>
              </w:rPr>
              <w:t>2024</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color w:val="auto"/>
              </w:rPr>
              <w:t>2023</w:t>
            </w:r>
          </w:p>
        </w:tc>
        <w:tc>
          <w:tcPr>
            <w:tcW w:w="2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0"/>
                <w:szCs w:val="10"/>
                <w:color w:val="auto"/>
              </w:rPr>
              <w:t>2024</w:t>
            </w:r>
          </w:p>
        </w:tc>
        <w:tc>
          <w:tcPr>
            <w:tcW w:w="2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color w:val="auto"/>
              </w:rPr>
              <w:t>2023</w:t>
            </w:r>
          </w:p>
        </w:tc>
        <w:tc>
          <w:tcPr>
            <w:tcW w:w="160" w:type="dxa"/>
            <w:vAlign w:val="bottom"/>
            <w:tcBorders>
              <w:bottom w:val="single" w:sz="8" w:color="CCEEFF"/>
            </w:tcBorders>
          </w:tcPr>
          <w:p>
            <w:pPr>
              <w:spacing w:after="0"/>
              <w:rPr>
                <w:sz w:val="10"/>
                <w:szCs w:val="10"/>
                <w:color w:val="auto"/>
              </w:rPr>
            </w:pPr>
          </w:p>
        </w:tc>
      </w:tr>
      <w:tr>
        <w:trPr>
          <w:trHeight w:val="112"/>
        </w:trPr>
        <w:tc>
          <w:tcPr>
            <w:tcW w:w="2180" w:type="dxa"/>
            <w:vAlign w:val="bottom"/>
            <w:tcBorders>
              <w:bottom w:val="single" w:sz="8" w:color="auto"/>
            </w:tcBorders>
            <w:gridSpan w:val="3"/>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auto"/>
              </w:rPr>
              <w:t>Revenue generated through (in thousands):</w:t>
            </w:r>
          </w:p>
        </w:tc>
        <w:tc>
          <w:tcPr>
            <w:tcW w:w="22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r>
      <w:tr>
        <w:trPr>
          <w:trHeight w:val="152"/>
        </w:trPr>
        <w:tc>
          <w:tcPr>
            <w:tcW w:w="4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Truck transportation</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2"/>
        </w:trPr>
        <w:tc>
          <w:tcPr>
            <w:tcW w:w="446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Truckload:</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2"/>
        </w:trPr>
        <w:tc>
          <w:tcPr>
            <w:tcW w:w="446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Van equipment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2,447,810</w:t>
            </w:r>
          </w:p>
        </w:tc>
        <w:tc>
          <w:tcPr>
            <w:tcW w:w="140" w:type="dxa"/>
            <w:vAlign w:val="bottom"/>
          </w:tcPr>
          <w:p>
            <w:pPr>
              <w:spacing w:after="0"/>
              <w:rPr>
                <w:sz w:val="13"/>
                <w:szCs w:val="13"/>
                <w:color w:val="auto"/>
              </w:rPr>
            </w:pP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w w:val="92"/>
              </w:rPr>
              <w:t>2,742,281</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596,573</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618,588</w:t>
            </w:r>
          </w:p>
        </w:tc>
      </w:tr>
      <w:tr>
        <w:trPr>
          <w:trHeight w:val="152"/>
        </w:trPr>
        <w:tc>
          <w:tcPr>
            <w:tcW w:w="446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Unsided/platform equipment</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1,455,663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2"/>
              </w:rPr>
              <w:t>1,490,393</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361,910</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339,910</w:t>
            </w:r>
          </w:p>
        </w:tc>
      </w:tr>
      <w:tr>
        <w:trPr>
          <w:trHeight w:val="152"/>
        </w:trPr>
        <w:tc>
          <w:tcPr>
            <w:tcW w:w="4460" w:type="dxa"/>
            <w:vAlign w:val="bottom"/>
            <w:gridSpan w:val="4"/>
          </w:tcPr>
          <w:p>
            <w:pPr>
              <w:ind w:left="500"/>
              <w:spacing w:after="0"/>
              <w:rPr>
                <w:sz w:val="20"/>
                <w:szCs w:val="20"/>
                <w:color w:val="auto"/>
              </w:rPr>
            </w:pPr>
            <w:r>
              <w:rPr>
                <w:rFonts w:ascii="Times New Roman" w:cs="Times New Roman" w:eastAsia="Times New Roman" w:hAnsi="Times New Roman"/>
                <w:sz w:val="13"/>
                <w:szCs w:val="13"/>
                <w:color w:val="auto"/>
              </w:rPr>
              <w:t>Less-than-truckload</w:t>
            </w:r>
          </w:p>
        </w:tc>
        <w:tc>
          <w:tcPr>
            <w:tcW w:w="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99,828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117,683</w:t>
            </w:r>
          </w:p>
        </w:tc>
        <w:tc>
          <w:tcPr>
            <w:tcW w:w="6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21,926</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26,913</w:t>
            </w:r>
          </w:p>
        </w:tc>
      </w:tr>
      <w:tr>
        <w:trPr>
          <w:trHeight w:val="152"/>
        </w:trPr>
        <w:tc>
          <w:tcPr>
            <w:tcW w:w="4460" w:type="dxa"/>
            <w:vAlign w:val="bottom"/>
            <w:gridSpan w:val="4"/>
            <w:shd w:val="clear" w:color="auto" w:fill="CCEEFF"/>
          </w:tcPr>
          <w:p>
            <w:pPr>
              <w:ind w:left="500"/>
              <w:spacing w:after="0" w:line="152" w:lineRule="exact"/>
              <w:rPr>
                <w:sz w:val="20"/>
                <w:szCs w:val="20"/>
                <w:color w:val="auto"/>
              </w:rPr>
            </w:pPr>
            <w:r>
              <w:rPr>
                <w:rFonts w:ascii="Times New Roman" w:cs="Times New Roman" w:eastAsia="Times New Roman" w:hAnsi="Times New Roman"/>
                <w:sz w:val="12"/>
                <w:szCs w:val="12"/>
                <w:color w:val="auto"/>
              </w:rPr>
              <w:t xml:space="preserve">Other truck transportation </w:t>
            </w:r>
            <w:r>
              <w:rPr>
                <w:rFonts w:ascii="Times New Roman" w:cs="Times New Roman" w:eastAsia="Times New Roman" w:hAnsi="Times New Roman"/>
                <w:sz w:val="17"/>
                <w:szCs w:val="17"/>
                <w:color w:val="auto"/>
                <w:vertAlign w:val="superscript"/>
              </w:rPr>
              <w:t>(1)</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343,253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479,173</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100,400</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99,702</w:t>
            </w:r>
          </w:p>
        </w:tc>
      </w:tr>
      <w:tr>
        <w:trPr>
          <w:trHeight w:val="151"/>
        </w:trPr>
        <w:tc>
          <w:tcPr>
            <w:tcW w:w="446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Total truck transportation</w:t>
            </w: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4,346,554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4,829,530</w:t>
            </w:r>
          </w:p>
        </w:tc>
        <w:tc>
          <w:tcPr>
            <w:tcW w:w="2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1,080,809</w:t>
            </w:r>
          </w:p>
        </w:tc>
        <w:tc>
          <w:tcPr>
            <w:tcW w:w="2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1,085,113</w:t>
            </w:r>
          </w:p>
        </w:tc>
        <w:tc>
          <w:tcPr>
            <w:tcW w:w="160" w:type="dxa"/>
            <w:vAlign w:val="bottom"/>
          </w:tcPr>
          <w:p>
            <w:pPr>
              <w:spacing w:after="0"/>
              <w:rPr>
                <w:sz w:val="13"/>
                <w:szCs w:val="13"/>
                <w:color w:val="auto"/>
              </w:rPr>
            </w:pPr>
          </w:p>
        </w:tc>
      </w:tr>
      <w:tr>
        <w:trPr>
          <w:trHeight w:val="152"/>
        </w:trPr>
        <w:tc>
          <w:tcPr>
            <w:tcW w:w="44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Rail intermodal</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84,328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98,297</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18,347</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24,344</w:t>
            </w:r>
          </w:p>
        </w:tc>
      </w:tr>
      <w:tr>
        <w:trPr>
          <w:trHeight w:val="152"/>
        </w:trPr>
        <w:tc>
          <w:tcPr>
            <w:tcW w:w="4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Ocean and air cargo carriers</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289,902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266,638</w:t>
            </w:r>
          </w:p>
        </w:tc>
        <w:tc>
          <w:tcPr>
            <w:tcW w:w="6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88,173</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64,280</w:t>
            </w:r>
          </w:p>
        </w:tc>
      </w:tr>
      <w:tr>
        <w:trPr>
          <w:trHeight w:val="152"/>
        </w:trPr>
        <w:tc>
          <w:tcPr>
            <w:tcW w:w="4460" w:type="dxa"/>
            <w:vAlign w:val="bottom"/>
            <w:gridSpan w:val="4"/>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(2)</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98,461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108,857</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22,001</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30,708</w:t>
            </w:r>
          </w:p>
        </w:tc>
      </w:tr>
      <w:tr>
        <w:trPr>
          <w:trHeight w:val="164"/>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4,819,245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u w:val="single" w:color="auto"/>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5,303,322</w:t>
            </w:r>
          </w:p>
        </w:tc>
        <w:tc>
          <w:tcPr>
            <w:tcW w:w="2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1,209,330</w:t>
            </w:r>
          </w:p>
        </w:tc>
        <w:tc>
          <w:tcPr>
            <w:tcW w:w="2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1,204,445</w:t>
            </w:r>
          </w:p>
        </w:tc>
        <w:tc>
          <w:tcPr>
            <w:tcW w:w="160" w:type="dxa"/>
            <w:vAlign w:val="bottom"/>
          </w:tcPr>
          <w:p>
            <w:pPr>
              <w:spacing w:after="0"/>
              <w:rPr>
                <w:sz w:val="14"/>
                <w:szCs w:val="14"/>
                <w:color w:val="auto"/>
              </w:rPr>
            </w:pPr>
          </w:p>
        </w:tc>
      </w:tr>
      <w:tr>
        <w:trPr>
          <w:trHeight w:val="144"/>
        </w:trPr>
        <w:tc>
          <w:tcPr>
            <w:tcW w:w="4460" w:type="dxa"/>
            <w:vAlign w:val="bottom"/>
            <w:gridSpan w:val="4"/>
            <w:shd w:val="clear" w:color="auto" w:fill="CCEEFF"/>
          </w:tcPr>
          <w:p>
            <w:pPr>
              <w:ind w:left="260"/>
              <w:spacing w:after="0" w:line="144" w:lineRule="exact"/>
              <w:rPr>
                <w:sz w:val="20"/>
                <w:szCs w:val="20"/>
                <w:color w:val="auto"/>
              </w:rPr>
            </w:pPr>
            <w:r>
              <w:rPr>
                <w:rFonts w:ascii="Times New Roman" w:cs="Times New Roman" w:eastAsia="Times New Roman" w:hAnsi="Times New Roman"/>
                <w:sz w:val="11"/>
                <w:szCs w:val="11"/>
                <w:color w:val="auto"/>
              </w:rPr>
              <w:t xml:space="preserve">Revenue on loads hauled via BCO Independent Contractors </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1"/>
                <w:szCs w:val="11"/>
                <w:color w:val="auto"/>
              </w:rPr>
              <w:t xml:space="preserve"> included in total</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4"/>
        </w:trPr>
        <w:tc>
          <w:tcPr>
            <w:tcW w:w="446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truck transportation</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1,821,989</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2"/>
              </w:rPr>
              <w:t>1,998,408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447,074</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454,774</w:t>
            </w:r>
          </w:p>
        </w:tc>
      </w:tr>
      <w:tr>
        <w:trPr>
          <w:trHeight w:val="123"/>
        </w:trPr>
        <w:tc>
          <w:tcPr>
            <w:tcW w:w="4460" w:type="dxa"/>
            <w:vAlign w:val="bottom"/>
            <w:gridSpan w:val="4"/>
          </w:tcPr>
          <w:p>
            <w:pPr>
              <w:spacing w:after="0" w:line="123" w:lineRule="exact"/>
              <w:rPr>
                <w:sz w:val="20"/>
                <w:szCs w:val="20"/>
                <w:color w:val="auto"/>
              </w:rPr>
            </w:pPr>
            <w:r>
              <w:rPr>
                <w:rFonts w:ascii="Times New Roman" w:cs="Times New Roman" w:eastAsia="Times New Roman" w:hAnsi="Times New Roman"/>
                <w:sz w:val="13"/>
                <w:szCs w:val="13"/>
                <w:color w:val="auto"/>
              </w:rPr>
              <w:t>Number of loads:</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8"/>
        </w:trPr>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2"/>
        </w:trPr>
        <w:tc>
          <w:tcPr>
            <w:tcW w:w="44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Truck transportation</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2"/>
        </w:trPr>
        <w:tc>
          <w:tcPr>
            <w:tcW w:w="4460" w:type="dxa"/>
            <w:vAlign w:val="bottom"/>
            <w:gridSpan w:val="4"/>
          </w:tcPr>
          <w:p>
            <w:pPr>
              <w:ind w:left="500"/>
              <w:spacing w:after="0"/>
              <w:rPr>
                <w:sz w:val="20"/>
                <w:szCs w:val="20"/>
                <w:color w:val="auto"/>
              </w:rPr>
            </w:pPr>
            <w:r>
              <w:rPr>
                <w:rFonts w:ascii="Times New Roman" w:cs="Times New Roman" w:eastAsia="Times New Roman" w:hAnsi="Times New Roman"/>
                <w:sz w:val="13"/>
                <w:szCs w:val="13"/>
                <w:color w:val="auto"/>
              </w:rPr>
              <w:t>Truckload:</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2"/>
        </w:trPr>
        <w:tc>
          <w:tcPr>
            <w:tcW w:w="446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Van equipment</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1,170,772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2"/>
              </w:rPr>
              <w:t>1,259,578</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282,877</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292,711</w:t>
            </w:r>
          </w:p>
        </w:tc>
      </w:tr>
      <w:tr>
        <w:trPr>
          <w:trHeight w:val="152"/>
        </w:trPr>
        <w:tc>
          <w:tcPr>
            <w:tcW w:w="446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Unsided/platform equipment</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476,815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504,765</w:t>
            </w:r>
          </w:p>
        </w:tc>
        <w:tc>
          <w:tcPr>
            <w:tcW w:w="6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114,188</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115,294</w:t>
            </w:r>
          </w:p>
        </w:tc>
      </w:tr>
      <w:tr>
        <w:trPr>
          <w:trHeight w:val="152"/>
        </w:trPr>
        <w:tc>
          <w:tcPr>
            <w:tcW w:w="446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Less-than-truckload</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153,253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175,650</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33,907</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41,070</w:t>
            </w:r>
          </w:p>
        </w:tc>
      </w:tr>
      <w:tr>
        <w:trPr>
          <w:trHeight w:val="152"/>
        </w:trPr>
        <w:tc>
          <w:tcPr>
            <w:tcW w:w="4460" w:type="dxa"/>
            <w:vAlign w:val="bottom"/>
            <w:gridSpan w:val="4"/>
          </w:tcPr>
          <w:p>
            <w:pPr>
              <w:ind w:left="500"/>
              <w:spacing w:after="0" w:line="152" w:lineRule="exact"/>
              <w:rPr>
                <w:sz w:val="20"/>
                <w:szCs w:val="20"/>
                <w:color w:val="auto"/>
              </w:rPr>
            </w:pPr>
            <w:r>
              <w:rPr>
                <w:rFonts w:ascii="Times New Roman" w:cs="Times New Roman" w:eastAsia="Times New Roman" w:hAnsi="Times New Roman"/>
                <w:sz w:val="12"/>
                <w:szCs w:val="12"/>
                <w:color w:val="auto"/>
              </w:rPr>
              <w:t xml:space="preserve">Other truck transportation </w:t>
            </w:r>
            <w:r>
              <w:rPr>
                <w:rFonts w:ascii="Times New Roman" w:cs="Times New Roman" w:eastAsia="Times New Roman" w:hAnsi="Times New Roman"/>
                <w:sz w:val="17"/>
                <w:szCs w:val="17"/>
                <w:color w:val="auto"/>
                <w:vertAlign w:val="superscript"/>
              </w:rPr>
              <w:t>(1)</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160,120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201,407</w:t>
            </w:r>
          </w:p>
        </w:tc>
        <w:tc>
          <w:tcPr>
            <w:tcW w:w="6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45,568</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44,295</w:t>
            </w: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1"/>
        </w:trPr>
        <w:tc>
          <w:tcPr>
            <w:tcW w:w="446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truck transportation</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1,960,960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2"/>
              </w:rPr>
              <w:t>2,141,400</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476,540</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493,370</w:t>
            </w:r>
          </w:p>
        </w:tc>
      </w:tr>
      <w:tr>
        <w:trPr>
          <w:trHeight w:val="152"/>
        </w:trPr>
        <w:tc>
          <w:tcPr>
            <w:tcW w:w="4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Rail intermodal</w:t>
            </w:r>
          </w:p>
        </w:tc>
        <w:tc>
          <w:tcPr>
            <w:tcW w:w="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27,970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29,620</w:t>
            </w:r>
          </w:p>
        </w:tc>
        <w:tc>
          <w:tcPr>
            <w:tcW w:w="6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6,550</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7,470</w:t>
            </w:r>
          </w:p>
        </w:tc>
      </w:tr>
      <w:tr>
        <w:trPr>
          <w:trHeight w:val="152"/>
        </w:trPr>
        <w:tc>
          <w:tcPr>
            <w:tcW w:w="44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Ocean and air cargo carriers</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34,440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32,820</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8,320</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7,440</w:t>
            </w:r>
          </w:p>
        </w:tc>
      </w:tr>
      <w:tr>
        <w:trPr>
          <w:trHeight w:val="164"/>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2,023,370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2,203,840</w:t>
            </w:r>
          </w:p>
        </w:tc>
        <w:tc>
          <w:tcPr>
            <w:tcW w:w="2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491,410</w:t>
            </w:r>
          </w:p>
        </w:tc>
        <w:tc>
          <w:tcPr>
            <w:tcW w:w="2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508,280</w:t>
            </w:r>
          </w:p>
        </w:tc>
        <w:tc>
          <w:tcPr>
            <w:tcW w:w="160" w:type="dxa"/>
            <w:vAlign w:val="bottom"/>
          </w:tcPr>
          <w:p>
            <w:pPr>
              <w:spacing w:after="0"/>
              <w:rPr>
                <w:sz w:val="14"/>
                <w:szCs w:val="14"/>
                <w:color w:val="auto"/>
              </w:rPr>
            </w:pPr>
          </w:p>
        </w:tc>
      </w:tr>
      <w:tr>
        <w:trPr>
          <w:trHeight w:val="144"/>
        </w:trPr>
        <w:tc>
          <w:tcPr>
            <w:tcW w:w="4460" w:type="dxa"/>
            <w:vAlign w:val="bottom"/>
            <w:gridSpan w:val="4"/>
            <w:shd w:val="clear" w:color="auto" w:fill="CCEEFF"/>
          </w:tcPr>
          <w:p>
            <w:pPr>
              <w:ind w:left="260"/>
              <w:spacing w:after="0" w:line="144" w:lineRule="exact"/>
              <w:rPr>
                <w:sz w:val="20"/>
                <w:szCs w:val="20"/>
                <w:color w:val="auto"/>
              </w:rPr>
            </w:pPr>
            <w:r>
              <w:rPr>
                <w:rFonts w:ascii="Times New Roman" w:cs="Times New Roman" w:eastAsia="Times New Roman" w:hAnsi="Times New Roman"/>
                <w:sz w:val="11"/>
                <w:szCs w:val="11"/>
                <w:color w:val="auto"/>
              </w:rPr>
              <w:t xml:space="preserve">Loads hauled via BCO Independent Contractors </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1"/>
                <w:szCs w:val="11"/>
                <w:color w:val="auto"/>
              </w:rPr>
              <w:t xml:space="preserve"> included in total truck</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4"/>
        </w:trPr>
        <w:tc>
          <w:tcPr>
            <w:tcW w:w="446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transportation</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814,150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898,610</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193,510</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209,350</w:t>
            </w:r>
          </w:p>
        </w:tc>
      </w:tr>
      <w:tr>
        <w:trPr>
          <w:trHeight w:val="132"/>
        </w:trPr>
        <w:tc>
          <w:tcPr>
            <w:tcW w:w="920" w:type="dxa"/>
            <w:vAlign w:val="bottom"/>
            <w:tcBorders>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color w:val="auto"/>
                <w:w w:val="95"/>
              </w:rPr>
              <w:t>Revenue per load:</w:t>
            </w:r>
          </w:p>
        </w:tc>
        <w:tc>
          <w:tcPr>
            <w:tcW w:w="35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2"/>
        </w:trPr>
        <w:tc>
          <w:tcPr>
            <w:tcW w:w="44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Truck transportation</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2"/>
        </w:trPr>
        <w:tc>
          <w:tcPr>
            <w:tcW w:w="4460" w:type="dxa"/>
            <w:vAlign w:val="bottom"/>
            <w:gridSpan w:val="4"/>
          </w:tcPr>
          <w:p>
            <w:pPr>
              <w:ind w:left="500"/>
              <w:spacing w:after="0"/>
              <w:rPr>
                <w:sz w:val="20"/>
                <w:szCs w:val="20"/>
                <w:color w:val="auto"/>
              </w:rPr>
            </w:pPr>
            <w:r>
              <w:rPr>
                <w:rFonts w:ascii="Times New Roman" w:cs="Times New Roman" w:eastAsia="Times New Roman" w:hAnsi="Times New Roman"/>
                <w:sz w:val="13"/>
                <w:szCs w:val="13"/>
                <w:color w:val="auto"/>
              </w:rPr>
              <w:t>Truckload:</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2"/>
        </w:trPr>
        <w:tc>
          <w:tcPr>
            <w:tcW w:w="446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Van equipment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2,091</w:t>
            </w: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2,177</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2,109</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2,113</w:t>
            </w:r>
          </w:p>
        </w:tc>
      </w:tr>
      <w:tr>
        <w:trPr>
          <w:trHeight w:val="152"/>
        </w:trPr>
        <w:tc>
          <w:tcPr>
            <w:tcW w:w="446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Unsided/platform equipment</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2,953</w:t>
            </w:r>
          </w:p>
        </w:tc>
        <w:tc>
          <w:tcPr>
            <w:tcW w:w="6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3,169</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2,948</w:t>
            </w:r>
          </w:p>
        </w:tc>
      </w:tr>
      <w:tr>
        <w:trPr>
          <w:trHeight w:val="152"/>
        </w:trPr>
        <w:tc>
          <w:tcPr>
            <w:tcW w:w="446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Less-than-truckload</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651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670</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647</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655</w:t>
            </w:r>
          </w:p>
        </w:tc>
      </w:tr>
      <w:tr>
        <w:trPr>
          <w:trHeight w:val="152"/>
        </w:trPr>
        <w:tc>
          <w:tcPr>
            <w:tcW w:w="4460" w:type="dxa"/>
            <w:vAlign w:val="bottom"/>
            <w:gridSpan w:val="4"/>
          </w:tcPr>
          <w:p>
            <w:pPr>
              <w:ind w:left="500"/>
              <w:spacing w:after="0" w:line="152" w:lineRule="exact"/>
              <w:rPr>
                <w:sz w:val="20"/>
                <w:szCs w:val="20"/>
                <w:color w:val="auto"/>
              </w:rPr>
            </w:pPr>
            <w:r>
              <w:rPr>
                <w:rFonts w:ascii="Times New Roman" w:cs="Times New Roman" w:eastAsia="Times New Roman" w:hAnsi="Times New Roman"/>
                <w:sz w:val="12"/>
                <w:szCs w:val="12"/>
                <w:color w:val="auto"/>
              </w:rPr>
              <w:t xml:space="preserve">Other truck transportation </w:t>
            </w:r>
            <w:r>
              <w:rPr>
                <w:rFonts w:ascii="Times New Roman" w:cs="Times New Roman" w:eastAsia="Times New Roman" w:hAnsi="Times New Roman"/>
                <w:sz w:val="17"/>
                <w:szCs w:val="17"/>
                <w:color w:val="auto"/>
                <w:vertAlign w:val="superscript"/>
              </w:rPr>
              <w:t>(1)</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2,379</w:t>
            </w:r>
          </w:p>
        </w:tc>
        <w:tc>
          <w:tcPr>
            <w:tcW w:w="6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2,203</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2,251</w:t>
            </w:r>
          </w:p>
        </w:tc>
      </w:tr>
      <w:tr>
        <w:trPr>
          <w:trHeight w:val="152"/>
        </w:trPr>
        <w:tc>
          <w:tcPr>
            <w:tcW w:w="446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truck transportation</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2,217</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2,255</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2,268</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2,199</w:t>
            </w:r>
          </w:p>
        </w:tc>
      </w:tr>
      <w:tr>
        <w:trPr>
          <w:trHeight w:val="152"/>
        </w:trPr>
        <w:tc>
          <w:tcPr>
            <w:tcW w:w="4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Rail intermodal</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3,319</w:t>
            </w:r>
          </w:p>
        </w:tc>
        <w:tc>
          <w:tcPr>
            <w:tcW w:w="6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2,801</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3,259</w:t>
            </w:r>
          </w:p>
        </w:tc>
      </w:tr>
      <w:tr>
        <w:trPr>
          <w:trHeight w:val="152"/>
        </w:trPr>
        <w:tc>
          <w:tcPr>
            <w:tcW w:w="44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Ocean and air cargo carriers</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8,418</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8,124</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10,598</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8,640</w:t>
            </w:r>
          </w:p>
        </w:tc>
      </w:tr>
      <w:tr>
        <w:trPr>
          <w:trHeight w:val="152"/>
        </w:trPr>
        <w:tc>
          <w:tcPr>
            <w:tcW w:w="4460" w:type="dxa"/>
            <w:vAlign w:val="bottom"/>
            <w:gridSpan w:val="4"/>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Revenue per load on loads hauled via BCO Independent Contractors </w:t>
            </w:r>
            <w:r>
              <w:rPr>
                <w:rFonts w:ascii="Times New Roman" w:cs="Times New Roman" w:eastAsia="Times New Roman" w:hAnsi="Times New Roman"/>
                <w:sz w:val="17"/>
                <w:szCs w:val="17"/>
                <w:color w:val="auto"/>
                <w:vertAlign w:val="superscript"/>
              </w:rPr>
              <w:t>(3)</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2,238</w:t>
            </w:r>
          </w:p>
        </w:tc>
        <w:tc>
          <w:tcPr>
            <w:tcW w:w="140" w:type="dxa"/>
            <w:vAlign w:val="bottom"/>
          </w:tcPr>
          <w:p>
            <w:pPr>
              <w:spacing w:after="0"/>
              <w:rPr>
                <w:sz w:val="13"/>
                <w:szCs w:val="13"/>
                <w:color w:val="auto"/>
              </w:rPr>
            </w:pP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2,224</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2,310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2,172</w:t>
            </w:r>
          </w:p>
        </w:tc>
      </w:tr>
    </w:tbl>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32"/>
        </w:trPr>
        <w:tc>
          <w:tcPr>
            <w:tcW w:w="376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Revenue by capacity type (as a % of total revenue):</w:t>
            </w:r>
          </w:p>
        </w:tc>
        <w:tc>
          <w:tcPr>
            <w:tcW w:w="1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52"/>
        </w:trPr>
        <w:tc>
          <w:tcPr>
            <w:tcW w:w="26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Truck capacity providers:</w:t>
            </w:r>
          </w:p>
        </w:tc>
        <w:tc>
          <w:tcPr>
            <w:tcW w:w="1160" w:type="dxa"/>
            <w:vAlign w:val="bottom"/>
            <w:tcBorders>
              <w:top w:val="single" w:sz="8" w:color="CCEEFF"/>
            </w:tcBorders>
          </w:tcPr>
          <w:p>
            <w:pPr>
              <w:spacing w:after="0"/>
              <w:rPr>
                <w:sz w:val="13"/>
                <w:szCs w:val="13"/>
                <w:color w:val="auto"/>
              </w:rPr>
            </w:pPr>
          </w:p>
        </w:tc>
        <w:tc>
          <w:tcPr>
            <w:tcW w:w="168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r>
      <w:tr>
        <w:trPr>
          <w:trHeight w:val="152"/>
        </w:trPr>
        <w:tc>
          <w:tcPr>
            <w:tcW w:w="3760" w:type="dxa"/>
            <w:vAlign w:val="bottom"/>
            <w:gridSpan w:val="2"/>
            <w:shd w:val="clear" w:color="auto" w:fill="CCEEFF"/>
          </w:tcPr>
          <w:p>
            <w:pPr>
              <w:ind w:left="500"/>
              <w:spacing w:after="0" w:line="152" w:lineRule="exact"/>
              <w:rPr>
                <w:sz w:val="20"/>
                <w:szCs w:val="20"/>
                <w:color w:val="auto"/>
              </w:rPr>
            </w:pPr>
            <w:r>
              <w:rPr>
                <w:rFonts w:ascii="Times New Roman" w:cs="Times New Roman" w:eastAsia="Times New Roman" w:hAnsi="Times New Roman"/>
                <w:sz w:val="12"/>
                <w:szCs w:val="12"/>
                <w:color w:val="auto"/>
              </w:rPr>
              <w:t xml:space="preserve">BCO Independent Contractors </w:t>
            </w:r>
            <w:r>
              <w:rPr>
                <w:rFonts w:ascii="Times New Roman" w:cs="Times New Roman" w:eastAsia="Times New Roman" w:hAnsi="Times New Roman"/>
                <w:sz w:val="17"/>
                <w:szCs w:val="17"/>
                <w:color w:val="auto"/>
                <w:vertAlign w:val="superscript"/>
              </w:rPr>
              <w:t>(3)</w:t>
            </w:r>
          </w:p>
        </w:tc>
        <w:tc>
          <w:tcPr>
            <w:tcW w:w="16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38%</w:t>
            </w:r>
          </w:p>
        </w:tc>
        <w:tc>
          <w:tcPr>
            <w:tcW w:w="8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38%</w:t>
            </w:r>
          </w:p>
        </w:tc>
        <w:tc>
          <w:tcPr>
            <w:tcW w:w="8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37%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3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Truck Brokerage Carriers</w:t>
            </w:r>
          </w:p>
        </w:tc>
        <w:tc>
          <w:tcPr>
            <w:tcW w:w="16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52%</w:t>
            </w:r>
          </w:p>
        </w:tc>
        <w:tc>
          <w:tcPr>
            <w:tcW w:w="8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53%</w:t>
            </w:r>
          </w:p>
        </w:tc>
        <w:tc>
          <w:tcPr>
            <w:tcW w:w="8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52%</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3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Rail intermodal</w:t>
            </w:r>
          </w:p>
        </w:tc>
        <w:tc>
          <w:tcPr>
            <w:tcW w:w="16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2%</w:t>
            </w:r>
          </w:p>
        </w:tc>
        <w:tc>
          <w:tcPr>
            <w:tcW w:w="8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w:t>
            </w:r>
          </w:p>
        </w:tc>
        <w:tc>
          <w:tcPr>
            <w:tcW w:w="8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37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Ocean and air cargo carriers</w:t>
            </w:r>
          </w:p>
        </w:tc>
        <w:tc>
          <w:tcPr>
            <w:tcW w:w="16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6%</w:t>
            </w:r>
          </w:p>
        </w:tc>
        <w:tc>
          <w:tcPr>
            <w:tcW w:w="8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5%</w:t>
            </w:r>
          </w:p>
        </w:tc>
        <w:tc>
          <w:tcPr>
            <w:tcW w:w="8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7%</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3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16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2%</w:t>
            </w:r>
          </w:p>
        </w:tc>
        <w:tc>
          <w:tcPr>
            <w:tcW w:w="8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w:t>
            </w:r>
          </w:p>
        </w:tc>
        <w:tc>
          <w:tcPr>
            <w:tcW w:w="8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bl>
    <w:p>
      <w:pPr>
        <w:spacing w:after="0" w:line="126"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December 28,</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w w:val="96"/>
              </w:rPr>
              <w:t>December 30,</w:t>
            </w:r>
          </w:p>
        </w:tc>
      </w:tr>
      <w:tr>
        <w:trPr>
          <w:trHeight w:val="119"/>
        </w:trPr>
        <w:tc>
          <w:tcPr>
            <w:tcW w:w="1300" w:type="dxa"/>
            <w:vAlign w:val="bottom"/>
            <w:tcBorders>
              <w:bottom w:val="single" w:sz="8" w:color="CCEEFF"/>
            </w:tcBorders>
          </w:tcPr>
          <w:p>
            <w:pPr>
              <w:spacing w:after="0"/>
              <w:rPr>
                <w:sz w:val="10"/>
                <w:szCs w:val="10"/>
                <w:color w:val="auto"/>
              </w:rPr>
            </w:pPr>
          </w:p>
        </w:tc>
        <w:tc>
          <w:tcPr>
            <w:tcW w:w="48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0"/>
                <w:szCs w:val="10"/>
                <w:color w:val="auto"/>
              </w:rPr>
              <w:t>2024</w:t>
            </w:r>
          </w:p>
        </w:tc>
        <w:tc>
          <w:tcPr>
            <w:tcW w:w="2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0"/>
                <w:szCs w:val="10"/>
                <w:color w:val="auto"/>
              </w:rPr>
              <w:t>2023</w:t>
            </w:r>
          </w:p>
        </w:tc>
        <w:tc>
          <w:tcPr>
            <w:tcW w:w="160" w:type="dxa"/>
            <w:vAlign w:val="bottom"/>
            <w:tcBorders>
              <w:bottom w:val="single" w:sz="8" w:color="CCEEFF"/>
            </w:tcBorders>
          </w:tcPr>
          <w:p>
            <w:pPr>
              <w:spacing w:after="0"/>
              <w:rPr>
                <w:sz w:val="10"/>
                <w:szCs w:val="10"/>
                <w:color w:val="auto"/>
              </w:rPr>
            </w:pPr>
          </w:p>
        </w:tc>
      </w:tr>
      <w:tr>
        <w:trPr>
          <w:trHeight w:val="112"/>
        </w:trPr>
        <w:tc>
          <w:tcPr>
            <w:tcW w:w="1300" w:type="dxa"/>
            <w:vAlign w:val="bottom"/>
            <w:tcBorders>
              <w:bottom w:val="single" w:sz="8" w:color="auto"/>
            </w:tcBorders>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auto"/>
              </w:rPr>
              <w:t>Truck Capacity Providers</w:t>
            </w:r>
          </w:p>
        </w:tc>
        <w:tc>
          <w:tcPr>
            <w:tcW w:w="486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r>
      <w:tr>
        <w:trPr>
          <w:trHeight w:val="152"/>
        </w:trPr>
        <w:tc>
          <w:tcPr>
            <w:tcW w:w="6160" w:type="dxa"/>
            <w:vAlign w:val="bottom"/>
            <w:gridSpan w:val="2"/>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BCO Independent Contractors </w:t>
            </w:r>
            <w:r>
              <w:rPr>
                <w:rFonts w:ascii="Times New Roman" w:cs="Times New Roman" w:eastAsia="Times New Roman" w:hAnsi="Times New Roman"/>
                <w:sz w:val="17"/>
                <w:szCs w:val="17"/>
                <w:color w:val="auto"/>
                <w:vertAlign w:val="superscript"/>
              </w:rPr>
              <w:t>(3)</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8,082</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9,024</w:t>
            </w:r>
          </w:p>
        </w:tc>
      </w:tr>
      <w:tr>
        <w:trPr>
          <w:trHeight w:val="151"/>
        </w:trPr>
        <w:tc>
          <w:tcPr>
            <w:tcW w:w="6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Truck Brokerage Carriers:</w:t>
            </w:r>
          </w:p>
        </w:tc>
        <w:tc>
          <w:tcPr>
            <w:tcW w:w="58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2"/>
        </w:trPr>
        <w:tc>
          <w:tcPr>
            <w:tcW w:w="6160" w:type="dxa"/>
            <w:vAlign w:val="bottom"/>
            <w:gridSpan w:val="2"/>
          </w:tcPr>
          <w:p>
            <w:pPr>
              <w:ind w:left="500"/>
              <w:spacing w:after="0" w:line="152" w:lineRule="exact"/>
              <w:rPr>
                <w:sz w:val="20"/>
                <w:szCs w:val="20"/>
                <w:color w:val="auto"/>
              </w:rPr>
            </w:pPr>
            <w:r>
              <w:rPr>
                <w:rFonts w:ascii="Times New Roman" w:cs="Times New Roman" w:eastAsia="Times New Roman" w:hAnsi="Times New Roman"/>
                <w:sz w:val="12"/>
                <w:szCs w:val="12"/>
                <w:color w:val="auto"/>
              </w:rPr>
              <w:t xml:space="preserve">Approved and active </w:t>
            </w:r>
            <w:r>
              <w:rPr>
                <w:rFonts w:ascii="Times New Roman" w:cs="Times New Roman" w:eastAsia="Times New Roman" w:hAnsi="Times New Roman"/>
                <w:sz w:val="17"/>
                <w:szCs w:val="17"/>
                <w:color w:val="auto"/>
                <w:vertAlign w:val="superscript"/>
              </w:rPr>
              <w:t>(4)</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43,718</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49,111</w:t>
            </w:r>
          </w:p>
        </w:tc>
      </w:tr>
      <w:tr>
        <w:trPr>
          <w:trHeight w:val="152"/>
        </w:trPr>
        <w:tc>
          <w:tcPr>
            <w:tcW w:w="6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Other approved</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26,527</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27,524</w:t>
            </w:r>
          </w:p>
        </w:tc>
      </w:tr>
      <w:tr>
        <w:trPr>
          <w:trHeight w:val="151"/>
        </w:trPr>
        <w:tc>
          <w:tcPr>
            <w:tcW w:w="13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70,245</w:t>
            </w:r>
          </w:p>
        </w:tc>
        <w:tc>
          <w:tcPr>
            <w:tcW w:w="2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76,635</w:t>
            </w:r>
          </w:p>
        </w:tc>
        <w:tc>
          <w:tcPr>
            <w:tcW w:w="160" w:type="dxa"/>
            <w:vAlign w:val="bottom"/>
          </w:tcPr>
          <w:p>
            <w:pPr>
              <w:spacing w:after="0"/>
              <w:rPr>
                <w:sz w:val="13"/>
                <w:szCs w:val="13"/>
                <w:color w:val="auto"/>
              </w:rPr>
            </w:pPr>
          </w:p>
        </w:tc>
      </w:tr>
      <w:tr>
        <w:trPr>
          <w:trHeight w:val="159"/>
        </w:trPr>
        <w:tc>
          <w:tcPr>
            <w:tcW w:w="6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available truck capacity providers</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78,327</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85,659</w:t>
            </w:r>
          </w:p>
        </w:tc>
      </w:tr>
      <w:tr>
        <w:trPr>
          <w:trHeight w:val="249"/>
        </w:trPr>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 xml:space="preserve">Trucks provided by BCO Independent Contractors </w:t>
            </w:r>
            <w:r>
              <w:rPr>
                <w:rFonts w:ascii="Times New Roman" w:cs="Times New Roman" w:eastAsia="Times New Roman" w:hAnsi="Times New Roman"/>
                <w:sz w:val="18"/>
                <w:szCs w:val="18"/>
                <w:color w:val="auto"/>
                <w:vertAlign w:val="superscript"/>
              </w:rPr>
              <w:t>(3)</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8,843</w:t>
            </w:r>
          </w:p>
        </w:tc>
        <w:tc>
          <w:tcPr>
            <w:tcW w:w="280" w:type="dxa"/>
            <w:vAlign w:val="bottom"/>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9,809</w:t>
            </w:r>
          </w:p>
        </w:tc>
        <w:tc>
          <w:tcPr>
            <w:tcW w:w="160" w:type="dxa"/>
            <w:vAlign w:val="bottom"/>
          </w:tcPr>
          <w:p>
            <w:pPr>
              <w:spacing w:after="0"/>
              <w:rPr>
                <w:sz w:val="21"/>
                <w:szCs w:val="21"/>
                <w:color w:val="auto"/>
              </w:rPr>
            </w:pPr>
          </w:p>
        </w:tc>
      </w:tr>
    </w:tbl>
    <w:p>
      <w:pPr>
        <w:spacing w:after="0" w:line="69" w:lineRule="exact"/>
        <w:rPr>
          <w:sz w:val="20"/>
          <w:szCs w:val="20"/>
          <w:color w:val="auto"/>
        </w:rPr>
      </w:pPr>
    </w:p>
    <w:p>
      <w:pPr>
        <w:ind w:left="940" w:right="699" w:hanging="303"/>
        <w:spacing w:after="0" w:line="250" w:lineRule="auto"/>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ind w:left="940" w:right="759" w:hanging="303"/>
        <w:spacing w:after="0" w:line="243" w:lineRule="auto"/>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primarily reinsurance premium revenue generated by the insurance segment and intra-Mexico transportation services revenue generated by Landstar Metro.</w:t>
      </w:r>
    </w:p>
    <w:p>
      <w:pPr>
        <w:ind w:left="940" w:hanging="303"/>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BCO Independent Contractors are independent contractors who provide truck capacity to the Company under exclusive lease arrangements.</w:t>
      </w:r>
    </w:p>
    <w:p>
      <w:pPr>
        <w:spacing w:after="0" w:line="2"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Active refers to Truck Brokerage Carriers who moved at least one load in the 180 days immediately preceding the fiscal quarter end.</w:t>
      </w:r>
    </w:p>
    <w:p>
      <w:pPr>
        <w:sectPr>
          <w:pgSz w:w="11900" w:h="16838" w:orient="portrait"/>
          <w:cols w:equalWidth="0" w:num="1">
            <w:col w:w="9019"/>
          </w:cols>
          <w:pgMar w:left="1440" w:top="229" w:right="1440"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SYSTEM/9</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Landstar System, Inc. and Subsidiary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Reconciliation of Gross Profit to Variable Contribution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w:t>
      </w:r>
    </w:p>
    <w:p>
      <w:pPr>
        <w:jc w:val="center"/>
        <w:spacing w:after="0"/>
        <w:rPr>
          <w:sz w:val="20"/>
          <w:szCs w:val="20"/>
          <w:color w:val="auto"/>
        </w:rPr>
      </w:pPr>
      <w:r>
        <w:rPr>
          <w:rFonts w:ascii="Times New Roman" w:cs="Times New Roman" w:eastAsia="Times New Roman" w:hAnsi="Times New Roman"/>
          <w:sz w:val="13"/>
          <w:szCs w:val="13"/>
          <w:color w:val="auto"/>
        </w:rPr>
        <w:t>(Unaudited)</w:t>
      </w:r>
    </w:p>
    <w:tbl>
      <w:tblPr>
        <w:tblLayout w:type="fixed"/>
        <w:tblInd w:w="640" w:type="dxa"/>
        <w:tblCellMar>
          <w:top w:w="0" w:type="dxa"/>
          <w:left w:w="0" w:type="dxa"/>
          <w:bottom w:w="0" w:type="dxa"/>
          <w:right w:w="0" w:type="dxa"/>
        </w:tblCellMar>
      </w:tblPr>
      <w:tr>
        <w:trPr>
          <w:trHeight w:val="109"/>
        </w:trPr>
        <w:tc>
          <w:tcPr>
            <w:tcW w:w="4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6"/>
          </w:tcPr>
          <w:p>
            <w:pPr>
              <w:jc w:val="right"/>
              <w:ind w:right="600"/>
              <w:spacing w:after="0" w:line="109" w:lineRule="exact"/>
              <w:rPr>
                <w:sz w:val="20"/>
                <w:szCs w:val="20"/>
                <w:color w:val="auto"/>
              </w:rPr>
            </w:pPr>
            <w:r>
              <w:rPr>
                <w:rFonts w:ascii="Times New Roman" w:cs="Times New Roman" w:eastAsia="Times New Roman" w:hAnsi="Times New Roman"/>
                <w:sz w:val="10"/>
                <w:szCs w:val="10"/>
                <w:color w:val="auto"/>
              </w:rPr>
              <w:t>Fiscal Years Ended</w:t>
            </w:r>
          </w:p>
        </w:tc>
        <w:tc>
          <w:tcPr>
            <w:tcW w:w="60" w:type="dxa"/>
            <w:vAlign w:val="bottom"/>
          </w:tcPr>
          <w:p>
            <w:pPr>
              <w:spacing w:after="0"/>
              <w:rPr>
                <w:sz w:val="9"/>
                <w:szCs w:val="9"/>
                <w:color w:val="auto"/>
              </w:rPr>
            </w:pPr>
          </w:p>
        </w:tc>
        <w:tc>
          <w:tcPr>
            <w:tcW w:w="1520" w:type="dxa"/>
            <w:vAlign w:val="bottom"/>
            <w:gridSpan w:val="5"/>
          </w:tcPr>
          <w:p>
            <w:pPr>
              <w:jc w:val="right"/>
              <w:ind w:right="420"/>
              <w:spacing w:after="0" w:line="109" w:lineRule="exact"/>
              <w:rPr>
                <w:sz w:val="20"/>
                <w:szCs w:val="20"/>
                <w:color w:val="auto"/>
              </w:rPr>
            </w:pPr>
            <w:r>
              <w:rPr>
                <w:rFonts w:ascii="Times New Roman" w:cs="Times New Roman" w:eastAsia="Times New Roman" w:hAnsi="Times New Roman"/>
                <w:sz w:val="10"/>
                <w:szCs w:val="10"/>
                <w:color w:val="auto"/>
              </w:rPr>
              <w:t>Fiscal Quarters Ended</w:t>
            </w:r>
          </w:p>
        </w:tc>
        <w:tc>
          <w:tcPr>
            <w:tcW w:w="0" w:type="dxa"/>
            <w:vAlign w:val="bottom"/>
          </w:tcPr>
          <w:p>
            <w:pPr>
              <w:spacing w:after="0"/>
              <w:rPr>
                <w:sz w:val="1"/>
                <w:szCs w:val="1"/>
                <w:color w:val="auto"/>
              </w:rPr>
            </w:pPr>
          </w:p>
        </w:tc>
      </w:tr>
      <w:tr>
        <w:trPr>
          <w:trHeight w:val="79"/>
        </w:trPr>
        <w:tc>
          <w:tcPr>
            <w:tcW w:w="4460" w:type="dxa"/>
            <w:vAlign w:val="bottom"/>
          </w:tcPr>
          <w:p>
            <w:pPr>
              <w:spacing w:after="0"/>
              <w:rPr>
                <w:sz w:val="6"/>
                <w:szCs w:val="6"/>
                <w:color w:val="auto"/>
              </w:rPr>
            </w:pPr>
          </w:p>
        </w:tc>
        <w:tc>
          <w:tcPr>
            <w:tcW w:w="760" w:type="dxa"/>
            <w:vAlign w:val="bottom"/>
            <w:tcBorders>
              <w:top w:val="single" w:sz="8" w:color="auto"/>
            </w:tcBorders>
            <w:gridSpan w:val="3"/>
          </w:tcPr>
          <w:p>
            <w:pPr>
              <w:spacing w:after="0" w:line="79" w:lineRule="exact"/>
              <w:rPr>
                <w:sz w:val="20"/>
                <w:szCs w:val="20"/>
                <w:color w:val="auto"/>
              </w:rPr>
            </w:pPr>
            <w:r>
              <w:rPr>
                <w:rFonts w:ascii="Times New Roman" w:cs="Times New Roman" w:eastAsia="Times New Roman" w:hAnsi="Times New Roman"/>
                <w:sz w:val="9"/>
                <w:szCs w:val="9"/>
                <w:color w:val="auto"/>
              </w:rPr>
              <w:t>December 28,</w:t>
            </w: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gridSpan w:val="2"/>
          </w:tcPr>
          <w:p>
            <w:pPr>
              <w:ind w:left="20"/>
              <w:spacing w:after="0" w:line="79" w:lineRule="exact"/>
              <w:rPr>
                <w:sz w:val="20"/>
                <w:szCs w:val="20"/>
                <w:color w:val="auto"/>
              </w:rPr>
            </w:pPr>
            <w:r>
              <w:rPr>
                <w:rFonts w:ascii="Times New Roman" w:cs="Times New Roman" w:eastAsia="Times New Roman" w:hAnsi="Times New Roman"/>
                <w:sz w:val="9"/>
                <w:szCs w:val="9"/>
                <w:color w:val="auto"/>
              </w:rPr>
              <w:t>December 30,</w:t>
            </w:r>
          </w:p>
        </w:tc>
        <w:tc>
          <w:tcPr>
            <w:tcW w:w="280" w:type="dxa"/>
            <w:vAlign w:val="bottom"/>
          </w:tcPr>
          <w:p>
            <w:pPr>
              <w:spacing w:after="0"/>
              <w:rPr>
                <w:sz w:val="6"/>
                <w:szCs w:val="6"/>
                <w:color w:val="auto"/>
              </w:rPr>
            </w:pPr>
          </w:p>
        </w:tc>
        <w:tc>
          <w:tcPr>
            <w:tcW w:w="860" w:type="dxa"/>
            <w:vAlign w:val="bottom"/>
            <w:tcBorders>
              <w:top w:val="single" w:sz="8" w:color="auto"/>
            </w:tcBorders>
            <w:gridSpan w:val="3"/>
          </w:tcPr>
          <w:p>
            <w:pPr>
              <w:spacing w:after="0" w:line="79" w:lineRule="exact"/>
              <w:rPr>
                <w:sz w:val="20"/>
                <w:szCs w:val="20"/>
                <w:color w:val="auto"/>
              </w:rPr>
            </w:pPr>
            <w:r>
              <w:rPr>
                <w:rFonts w:ascii="Times New Roman" w:cs="Times New Roman" w:eastAsia="Times New Roman" w:hAnsi="Times New Roman"/>
                <w:sz w:val="9"/>
                <w:szCs w:val="9"/>
                <w:color w:val="auto"/>
              </w:rPr>
              <w:t>December 28,</w:t>
            </w:r>
          </w:p>
        </w:tc>
        <w:tc>
          <w:tcPr>
            <w:tcW w:w="560" w:type="dxa"/>
            <w:vAlign w:val="bottom"/>
            <w:tcBorders>
              <w:top w:val="single" w:sz="8" w:color="auto"/>
            </w:tcBorders>
            <w:gridSpan w:val="2"/>
          </w:tcPr>
          <w:p>
            <w:pPr>
              <w:spacing w:after="0" w:line="79" w:lineRule="exact"/>
              <w:rPr>
                <w:sz w:val="20"/>
                <w:szCs w:val="20"/>
                <w:color w:val="auto"/>
              </w:rPr>
            </w:pPr>
            <w:r>
              <w:rPr>
                <w:rFonts w:ascii="Times New Roman" w:cs="Times New Roman" w:eastAsia="Times New Roman" w:hAnsi="Times New Roman"/>
                <w:sz w:val="9"/>
                <w:szCs w:val="9"/>
                <w:color w:val="auto"/>
              </w:rPr>
              <w:t>December 30,</w:t>
            </w: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44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0"/>
                <w:szCs w:val="10"/>
                <w:color w:val="auto"/>
              </w:rPr>
              <w:t>2024</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0"/>
                <w:szCs w:val="10"/>
                <w:color w:val="auto"/>
              </w:rPr>
              <w:t>2023</w:t>
            </w:r>
          </w:p>
        </w:tc>
        <w:tc>
          <w:tcPr>
            <w:tcW w:w="2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0"/>
                <w:szCs w:val="10"/>
                <w:color w:val="auto"/>
              </w:rPr>
              <w:t>2024</w:t>
            </w:r>
          </w:p>
        </w:tc>
        <w:tc>
          <w:tcPr>
            <w:tcW w:w="2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0"/>
                <w:szCs w:val="10"/>
                <w:color w:val="auto"/>
              </w:rPr>
              <w:t>2023</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4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4,819,245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5,303,322</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1,209,330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1,204,445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Costs of revenue:</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4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Purchased transportation</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3,745,241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2"/>
              </w:rPr>
              <w:t>4,068,262</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945,857</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927,028</w:t>
            </w:r>
          </w:p>
        </w:tc>
        <w:tc>
          <w:tcPr>
            <w:tcW w:w="0" w:type="dxa"/>
            <w:vAlign w:val="bottom"/>
          </w:tcPr>
          <w:p>
            <w:pPr>
              <w:spacing w:after="0"/>
              <w:rPr>
                <w:sz w:val="1"/>
                <w:szCs w:val="1"/>
                <w:color w:val="auto"/>
              </w:rPr>
            </w:pPr>
          </w:p>
        </w:tc>
      </w:tr>
      <w:tr>
        <w:trPr>
          <w:trHeight w:val="152"/>
        </w:trPr>
        <w:tc>
          <w:tcPr>
            <w:tcW w:w="44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Commissions to agents</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392,751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462,668</w:t>
            </w:r>
          </w:p>
        </w:tc>
        <w:tc>
          <w:tcPr>
            <w:tcW w:w="6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96,950</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99,271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Variable costs of revenue</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4,137,992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2"/>
              </w:rPr>
              <w:t>4,530,930</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1,042,807</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2"/>
              </w:rPr>
              <w:t>1,026,299</w:t>
            </w:r>
          </w:p>
        </w:tc>
        <w:tc>
          <w:tcPr>
            <w:tcW w:w="0" w:type="dxa"/>
            <w:vAlign w:val="bottom"/>
          </w:tcPr>
          <w:p>
            <w:pPr>
              <w:spacing w:after="0"/>
              <w:rPr>
                <w:sz w:val="1"/>
                <w:szCs w:val="1"/>
                <w:color w:val="auto"/>
              </w:rPr>
            </w:pPr>
          </w:p>
        </w:tc>
      </w:tr>
      <w:tr>
        <w:trPr>
          <w:trHeight w:val="152"/>
        </w:trPr>
        <w:tc>
          <w:tcPr>
            <w:tcW w:w="44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Trailing equipment depreciation</w:t>
            </w:r>
          </w:p>
        </w:tc>
        <w:tc>
          <w:tcPr>
            <w:tcW w:w="6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27,950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31,319</w:t>
            </w:r>
          </w:p>
        </w:tc>
        <w:tc>
          <w:tcPr>
            <w:tcW w:w="6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7,186</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7,079</w:t>
            </w:r>
          </w:p>
        </w:tc>
        <w:tc>
          <w:tcPr>
            <w:tcW w:w="0" w:type="dxa"/>
            <w:vAlign w:val="bottom"/>
          </w:tcPr>
          <w:p>
            <w:pPr>
              <w:spacing w:after="0"/>
              <w:rPr>
                <w:sz w:val="1"/>
                <w:szCs w:val="1"/>
                <w:color w:val="auto"/>
              </w:rPr>
            </w:pPr>
          </w:p>
        </w:tc>
      </w:tr>
      <w:tr>
        <w:trPr>
          <w:trHeight w:val="152"/>
        </w:trPr>
        <w:tc>
          <w:tcPr>
            <w:tcW w:w="4460" w:type="dxa"/>
            <w:vAlign w:val="bottom"/>
            <w:shd w:val="clear" w:color="auto" w:fill="CCEEFF"/>
          </w:tcPr>
          <w:p>
            <w:pPr>
              <w:ind w:left="500"/>
              <w:spacing w:after="0" w:line="152" w:lineRule="exact"/>
              <w:rPr>
                <w:sz w:val="20"/>
                <w:szCs w:val="20"/>
                <w:color w:val="auto"/>
              </w:rPr>
            </w:pPr>
            <w:r>
              <w:rPr>
                <w:rFonts w:ascii="Times New Roman" w:cs="Times New Roman" w:eastAsia="Times New Roman" w:hAnsi="Times New Roman"/>
                <w:sz w:val="12"/>
                <w:szCs w:val="12"/>
                <w:color w:val="auto"/>
              </w:rPr>
              <w:t xml:space="preserve">Information technology costs </w:t>
            </w:r>
            <w:r>
              <w:rPr>
                <w:rFonts w:ascii="Times New Roman" w:cs="Times New Roman" w:eastAsia="Times New Roman" w:hAnsi="Times New Roman"/>
                <w:sz w:val="17"/>
                <w:szCs w:val="17"/>
                <w:color w:val="auto"/>
                <w:vertAlign w:val="superscript"/>
              </w:rPr>
              <w:t>(1)</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22,744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25,486</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4,629</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5,695</w:t>
            </w:r>
          </w:p>
        </w:tc>
        <w:tc>
          <w:tcPr>
            <w:tcW w:w="0" w:type="dxa"/>
            <w:vAlign w:val="bottom"/>
          </w:tcPr>
          <w:p>
            <w:pPr>
              <w:spacing w:after="0"/>
              <w:rPr>
                <w:sz w:val="1"/>
                <w:szCs w:val="1"/>
                <w:color w:val="auto"/>
              </w:rPr>
            </w:pPr>
          </w:p>
        </w:tc>
      </w:tr>
      <w:tr>
        <w:trPr>
          <w:trHeight w:val="152"/>
        </w:trPr>
        <w:tc>
          <w:tcPr>
            <w:tcW w:w="4460" w:type="dxa"/>
            <w:vAlign w:val="bottom"/>
          </w:tcPr>
          <w:p>
            <w:pPr>
              <w:ind w:left="500"/>
              <w:spacing w:after="0" w:line="152" w:lineRule="exact"/>
              <w:rPr>
                <w:sz w:val="20"/>
                <w:szCs w:val="20"/>
                <w:color w:val="auto"/>
              </w:rPr>
            </w:pPr>
            <w:r>
              <w:rPr>
                <w:rFonts w:ascii="Times New Roman" w:cs="Times New Roman" w:eastAsia="Times New Roman" w:hAnsi="Times New Roman"/>
                <w:sz w:val="12"/>
                <w:szCs w:val="12"/>
                <w:color w:val="auto"/>
              </w:rPr>
              <w:t xml:space="preserve">Insurance-related costs </w:t>
            </w:r>
            <w:r>
              <w:rPr>
                <w:rFonts w:ascii="Times New Roman" w:cs="Times New Roman" w:eastAsia="Times New Roman" w:hAnsi="Times New Roman"/>
                <w:sz w:val="17"/>
                <w:szCs w:val="17"/>
                <w:color w:val="auto"/>
                <w:vertAlign w:val="superscript"/>
              </w:rPr>
              <w:t>(2)</w:t>
            </w:r>
          </w:p>
        </w:tc>
        <w:tc>
          <w:tcPr>
            <w:tcW w:w="6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115,764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116,069</w:t>
            </w:r>
          </w:p>
        </w:tc>
        <w:tc>
          <w:tcPr>
            <w:tcW w:w="6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30,642</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27,585</w:t>
            </w:r>
          </w:p>
        </w:tc>
        <w:tc>
          <w:tcPr>
            <w:tcW w:w="0" w:type="dxa"/>
            <w:vAlign w:val="bottom"/>
          </w:tcPr>
          <w:p>
            <w:pPr>
              <w:spacing w:after="0"/>
              <w:rPr>
                <w:sz w:val="1"/>
                <w:szCs w:val="1"/>
                <w:color w:val="auto"/>
              </w:rPr>
            </w:pPr>
          </w:p>
        </w:tc>
      </w:tr>
      <w:tr>
        <w:trPr>
          <w:trHeight w:val="152"/>
        </w:trPr>
        <w:tc>
          <w:tcPr>
            <w:tcW w:w="44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Other operating costs</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58,781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54,191</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14,643</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13,193</w:t>
            </w:r>
          </w:p>
        </w:tc>
        <w:tc>
          <w:tcPr>
            <w:tcW w:w="0" w:type="dxa"/>
            <w:vAlign w:val="bottom"/>
          </w:tcPr>
          <w:p>
            <w:pPr>
              <w:spacing w:after="0"/>
              <w:rPr>
                <w:sz w:val="1"/>
                <w:szCs w:val="1"/>
                <w:color w:val="auto"/>
              </w:rPr>
            </w:pPr>
          </w:p>
        </w:tc>
      </w:tr>
      <w:tr>
        <w:trPr>
          <w:trHeight w:val="151"/>
        </w:trPr>
        <w:tc>
          <w:tcPr>
            <w:tcW w:w="4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costs of revenue</w:t>
            </w:r>
          </w:p>
        </w:tc>
        <w:tc>
          <w:tcPr>
            <w:tcW w:w="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225,239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227,065</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57,100</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53,552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costs of revenue</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4,363,231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2"/>
              </w:rPr>
              <w:t>4,757,995</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1,099,907</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2"/>
              </w:rPr>
              <w:t>1,079,851</w:t>
            </w:r>
          </w:p>
        </w:tc>
        <w:tc>
          <w:tcPr>
            <w:tcW w:w="0" w:type="dxa"/>
            <w:vAlign w:val="bottom"/>
          </w:tcPr>
          <w:p>
            <w:pPr>
              <w:spacing w:after="0"/>
              <w:rPr>
                <w:sz w:val="1"/>
                <w:szCs w:val="1"/>
                <w:color w:val="auto"/>
              </w:rPr>
            </w:pPr>
          </w:p>
        </w:tc>
      </w:tr>
      <w:tr>
        <w:trPr>
          <w:trHeight w:val="159"/>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456,014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545,327</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109,423</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124,594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10.3%</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9.0%</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52"/>
        </w:trPr>
        <w:tc>
          <w:tcPr>
            <w:tcW w:w="4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Plus: other costs of revenue</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225,239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227,065</w:t>
            </w:r>
          </w:p>
        </w:tc>
        <w:tc>
          <w:tcPr>
            <w:tcW w:w="6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57,100</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53,552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Variable contribution</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681,253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772,392</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166,523</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178,146</w:t>
            </w:r>
          </w:p>
        </w:tc>
        <w:tc>
          <w:tcPr>
            <w:tcW w:w="0" w:type="dxa"/>
            <w:vAlign w:val="bottom"/>
          </w:tcPr>
          <w:p>
            <w:pPr>
              <w:spacing w:after="0"/>
              <w:rPr>
                <w:sz w:val="1"/>
                <w:szCs w:val="1"/>
                <w:color w:val="auto"/>
              </w:rPr>
            </w:pPr>
          </w:p>
        </w:tc>
      </w:tr>
      <w:tr>
        <w:trPr>
          <w:trHeight w:val="28"/>
        </w:trPr>
        <w:tc>
          <w:tcPr>
            <w:tcW w:w="44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Variable contribution margin</w:t>
            </w: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14.6%</w:t>
            </w:r>
          </w:p>
        </w:tc>
        <w:tc>
          <w:tcPr>
            <w:tcW w:w="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13.8%</w:t>
            </w:r>
          </w:p>
        </w:tc>
        <w:tc>
          <w:tcPr>
            <w:tcW w:w="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940" w:right="879" w:hanging="303"/>
        <w:spacing w:after="0" w:line="248" w:lineRule="auto"/>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costs of revenue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w:t>
      </w:r>
    </w:p>
    <w:p>
      <w:pPr>
        <w:spacing w:after="0" w:line="1" w:lineRule="exact"/>
        <w:rPr>
          <w:rFonts w:ascii="Times New Roman" w:cs="Times New Roman" w:eastAsia="Times New Roman" w:hAnsi="Times New Roman"/>
          <w:sz w:val="13"/>
          <w:szCs w:val="13"/>
          <w:color w:val="auto"/>
        </w:rPr>
      </w:pPr>
    </w:p>
    <w:p>
      <w:pPr>
        <w:ind w:left="940" w:right="879" w:hanging="303"/>
        <w:spacing w:after="0" w:line="244" w:lineRule="auto"/>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Primarily includes (i) insurance premiums paid for commercial auto liability, general liability, cargo and other lines of coverage related to the transportation of freight; (ii) the related cost of claims incurred under those programs; and (iii) brokerage commissions and other fees incurred relating to the administration of insurance programs available to BCO Independent Contractors that are reinsured by the Company, which are included in selling, general and administrative in the Company’s Consolidated Statements of Income.</w:t>
      </w:r>
    </w:p>
    <w:p>
      <w:pPr>
        <w:sectPr>
          <w:pgSz w:w="11900" w:h="16838" w:orient="portrait"/>
          <w:cols w:equalWidth="0" w:num="1">
            <w:col w:w="9019"/>
          </w:cols>
          <w:pgMar w:left="1440" w:top="229" w:right="1440" w:bottom="1440" w:gutter="0" w:footer="0" w:header="0"/>
        </w:sectPr>
      </w:pPr>
    </w:p>
    <w:bookmarkStart w:id="12" w:name="page13"/>
    <w:bookmarkEnd w:id="12"/>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2025-01-29T15:44:29Z</dcterms:created>
  <dcterms:modified xsi:type="dcterms:W3CDTF">2025-01-29T15:44:29Z</dcterms:modified>
</cp:coreProperties>
</file>