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301625</wp:posOffset>
            </wp:positionV>
            <wp:extent cx="697865" cy="77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65" cy="770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LANDSTAR SYSTEM,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021238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06-1313069</w:t>
      </w:r>
    </w:p>
    <w:p>
      <w:pPr>
        <w:spacing w:after="0" w:line="13" w:lineRule="exact"/>
        <w:rPr>
          <w:sz w:val="24"/>
          <w:szCs w:val="24"/>
          <w:color w:val="auto"/>
        </w:rPr>
      </w:pPr>
    </w:p>
    <w:p>
      <w:pPr>
        <w:sectPr>
          <w:pgSz w:w="11900" w:h="16838" w:orient="portrait"/>
          <w:cols w:equalWidth="0" w:num="3">
            <w:col w:w="3680" w:space="720"/>
            <w:col w:w="170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61"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13410 Sutton Park Drive South, Jacksonville, Florida</w:t>
      </w:r>
    </w:p>
    <w:p>
      <w:pPr>
        <w:spacing w:after="0" w:line="20" w:lineRule="exact"/>
        <w:rPr>
          <w:sz w:val="24"/>
          <w:szCs w:val="24"/>
          <w:color w:val="auto"/>
        </w:rPr>
      </w:pPr>
      <w:r>
        <w:rPr>
          <w:sz w:val="24"/>
          <w:szCs w:val="24"/>
          <w:color w:val="auto"/>
        </w:rPr>
        <w:br w:type="column"/>
      </w:r>
    </w:p>
    <w:p>
      <w:pPr>
        <w:jc w:val="center"/>
        <w:ind w:right="2379"/>
        <w:spacing w:after="0"/>
        <w:rPr>
          <w:sz w:val="20"/>
          <w:szCs w:val="20"/>
          <w:color w:val="auto"/>
        </w:rPr>
      </w:pPr>
      <w:r>
        <w:rPr>
          <w:rFonts w:ascii="Times New Roman" w:cs="Times New Roman" w:eastAsia="Times New Roman" w:hAnsi="Times New Roman"/>
          <w:sz w:val="12"/>
          <w:szCs w:val="12"/>
          <w:b w:val="1"/>
          <w:bCs w:val="1"/>
          <w:color w:val="auto"/>
        </w:rPr>
        <w:t>32224</w:t>
      </w:r>
    </w:p>
    <w:p>
      <w:pPr>
        <w:spacing w:after="0" w:line="29" w:lineRule="exact"/>
        <w:rPr>
          <w:sz w:val="24"/>
          <w:szCs w:val="24"/>
          <w:color w:val="auto"/>
        </w:rPr>
      </w:pPr>
    </w:p>
    <w:p>
      <w:pPr>
        <w:sectPr>
          <w:pgSz w:w="11900" w:h="16838" w:orient="portrait"/>
          <w:cols w:equalWidth="0" w:num="2">
            <w:col w:w="5600" w:space="720"/>
            <w:col w:w="2699"/>
          </w:cols>
          <w:pgMar w:left="1440" w:top="352" w:right="1440"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126" w:lineRule="exact"/>
        <w:rPr>
          <w:sz w:val="24"/>
          <w:szCs w:val="24"/>
          <w:color w:val="auto"/>
        </w:rPr>
      </w:pPr>
    </w:p>
    <w:p>
      <w:pPr>
        <w:sectPr>
          <w:pgSz w:w="11900" w:h="16838" w:orient="portrait"/>
          <w:cols w:equalWidth="0" w:num="2">
            <w:col w:w="5520" w:space="720"/>
            <w:col w:w="277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(904) 398-9400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LSTR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NASDAQ</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color w:val="auto"/>
        </w:rPr>
        <w:t>Results of Operations and Financial Condition</w:t>
      </w:r>
    </w:p>
    <w:p>
      <w:pPr>
        <w:spacing w:after="0" w:line="78"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On May 13, 2025, Landstar System, Inc. (“Landstar” or the “Company”) issued a press release announcing results for the first quarter of fiscal 2025. A copy of the press release is attached hereto as Exhibit 99.1.</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information contained in Item 7.01 concerning the presentation to Landstar investors is hereby incorporated into this Item 2.02 by reference.</w:t>
      </w:r>
    </w:p>
    <w:p>
      <w:pPr>
        <w:spacing w:after="0" w:line="154"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t>Item 7.01</w:t>
      </w:r>
      <w:r>
        <w:rPr>
          <w:sz w:val="20"/>
          <w:szCs w:val="20"/>
          <w:color w:val="auto"/>
        </w:rPr>
        <w:tab/>
      </w:r>
      <w:r>
        <w:rPr>
          <w:rFonts w:ascii="Times New Roman" w:cs="Times New Roman" w:eastAsia="Times New Roman" w:hAnsi="Times New Roman"/>
          <w:sz w:val="13"/>
          <w:szCs w:val="13"/>
          <w:color w:val="auto"/>
        </w:rPr>
        <w:t>Regulation FD Disclosure</w:t>
      </w:r>
    </w:p>
    <w:p>
      <w:pPr>
        <w:spacing w:after="0" w:line="78" w:lineRule="exact"/>
        <w:rPr>
          <w:sz w:val="20"/>
          <w:szCs w:val="20"/>
          <w:color w:val="auto"/>
        </w:rPr>
      </w:pPr>
    </w:p>
    <w:p>
      <w:pPr>
        <w:jc w:val="both"/>
        <w:ind w:left="640" w:right="859"/>
        <w:spacing w:after="0" w:line="255" w:lineRule="auto"/>
        <w:rPr>
          <w:sz w:val="20"/>
          <w:szCs w:val="20"/>
          <w:color w:val="auto"/>
        </w:rPr>
      </w:pPr>
      <w:r>
        <w:rPr>
          <w:rFonts w:ascii="Times New Roman" w:cs="Times New Roman" w:eastAsia="Times New Roman" w:hAnsi="Times New Roman"/>
          <w:sz w:val="13"/>
          <w:szCs w:val="13"/>
          <w:color w:val="auto"/>
        </w:rPr>
        <w:t>A slide presentation, dated May 13, 2025, is attached hereto as Exhibit 99.2 and is incorporated herein by reference. The slide presentation provides information that may be referred to by the Company on its conference call with investors scheduled to occur on May 13, 2025 in connection with the Company’s release of results for the first quarter of fiscal 2025.</w:t>
      </w:r>
    </w:p>
    <w:p>
      <w:pPr>
        <w:spacing w:after="0" w:line="130"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7.01 of this Current Report on Form 8-K, including Exhibit 99.2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9.01</w:t>
            </w:r>
          </w:p>
        </w:tc>
        <w:tc>
          <w:tcPr>
            <w:tcW w:w="3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Financial Statements and Exhibits</w:t>
            </w:r>
          </w:p>
        </w:tc>
      </w:tr>
      <w:tr>
        <w:trPr>
          <w:trHeight w:val="275"/>
        </w:trPr>
        <w:tc>
          <w:tcPr>
            <w:tcW w:w="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Exhibits</w:t>
            </w:r>
          </w:p>
        </w:tc>
        <w:tc>
          <w:tcPr>
            <w:tcW w:w="3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8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6"/>
                <w:szCs w:val="16"/>
                <w:color w:val="auto"/>
              </w:rPr>
            </w:pPr>
          </w:p>
        </w:tc>
        <w:tc>
          <w:tcPr>
            <w:tcW w:w="3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May 13, 2025, of Landstar System, Inc.</w:t>
            </w:r>
          </w:p>
        </w:tc>
        <w:tc>
          <w:tcPr>
            <w:tcW w:w="380" w:type="dxa"/>
            <w:vAlign w:val="bottom"/>
            <w:gridSpan w:val="2"/>
          </w:tcPr>
          <w:p>
            <w:pPr>
              <w:spacing w:after="0"/>
              <w:rPr>
                <w:sz w:val="16"/>
                <w:szCs w:val="16"/>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3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Slide Presentation, dated May 13, 2025, of Landstar System, Inc.</w:t>
            </w:r>
          </w:p>
        </w:tc>
        <w:tc>
          <w:tcPr>
            <w:tcW w:w="16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Inline XBRL for the cover page of this Current Report on Form 8-K</w:t>
            </w:r>
          </w:p>
        </w:tc>
      </w:tr>
    </w:tbl>
    <w:p>
      <w:pPr>
        <w:sectPr>
          <w:pgSz w:w="11900" w:h="16838" w:orient="portrait"/>
          <w:cols w:equalWidth="0" w:num="1">
            <w:col w:w="9019"/>
          </w:cols>
          <w:pgMar w:left="1440" w:top="25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4"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550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LANDSTAR SYSTEM, INC.</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Date: May 13, 2025</w:t>
            </w:r>
          </w:p>
        </w:tc>
        <w:tc>
          <w:tcPr>
            <w:tcW w:w="208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James P. Todd</w:t>
            </w:r>
          </w:p>
        </w:tc>
      </w:tr>
      <w:tr>
        <w:trPr>
          <w:trHeight w:val="138"/>
        </w:trPr>
        <w:tc>
          <w:tcPr>
            <w:tcW w:w="2240" w:type="dxa"/>
            <w:vAlign w:val="bottom"/>
          </w:tcPr>
          <w:p>
            <w:pPr>
              <w:spacing w:after="0"/>
              <w:rPr>
                <w:sz w:val="11"/>
                <w:szCs w:val="11"/>
                <w:color w:val="auto"/>
              </w:rPr>
            </w:pPr>
          </w:p>
        </w:tc>
        <w:tc>
          <w:tcPr>
            <w:tcW w:w="2080" w:type="dxa"/>
            <w:vAlign w:val="bottom"/>
          </w:tcPr>
          <w:p>
            <w:pPr>
              <w:ind w:left="164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James P. Todd</w:t>
            </w:r>
          </w:p>
        </w:tc>
      </w:tr>
      <w:tr>
        <w:trPr>
          <w:trHeight w:val="152"/>
        </w:trPr>
        <w:tc>
          <w:tcPr>
            <w:tcW w:w="2240" w:type="dxa"/>
            <w:vAlign w:val="bottom"/>
          </w:tcPr>
          <w:p>
            <w:pPr>
              <w:spacing w:after="0"/>
              <w:rPr>
                <w:sz w:val="13"/>
                <w:szCs w:val="13"/>
                <w:color w:val="auto"/>
              </w:rPr>
            </w:pPr>
          </w:p>
        </w:tc>
        <w:tc>
          <w:tcPr>
            <w:tcW w:w="208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Chief Financial Officer</w:t>
            </w:r>
          </w:p>
        </w:tc>
      </w:tr>
      <w:tr>
        <w:trPr>
          <w:trHeight w:val="165"/>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and Assistant Secretary</w:t>
            </w:r>
          </w:p>
        </w:tc>
      </w:tr>
    </w:tbl>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4681855" cy="643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1855" cy="64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4"/>
              </w:rPr>
              <w:t>For Immediate Release</w:t>
            </w:r>
          </w:p>
        </w:tc>
        <w:tc>
          <w:tcPr>
            <w:tcW w:w="6580" w:type="dxa"/>
            <w:vAlign w:val="bottom"/>
          </w:tcPr>
          <w:p>
            <w:pPr>
              <w:ind w:left="5860"/>
              <w:spacing w:after="0"/>
              <w:rPr>
                <w:sz w:val="20"/>
                <w:szCs w:val="20"/>
                <w:color w:val="auto"/>
              </w:rPr>
            </w:pPr>
            <w:r>
              <w:rPr>
                <w:rFonts w:ascii="Times New Roman" w:cs="Times New Roman" w:eastAsia="Times New Roman" w:hAnsi="Times New Roman"/>
                <w:sz w:val="13"/>
                <w:szCs w:val="13"/>
                <w:color w:val="auto"/>
                <w:w w:val="96"/>
              </w:rPr>
              <w:t>May 13, 2025</w:t>
            </w: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REPORTS FIRST QUARTER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REVENUE OF $1.153B AND EARNINGS PER SHARE OF $0.85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ANNOUNCES 11% INCREASE TO QUARTERLY DIVIDEND</w:t>
      </w:r>
    </w:p>
    <w:p>
      <w:pPr>
        <w:spacing w:after="0" w:line="141"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Jacksonville, FL - Landstar System, Inc. (NASDAQ: LSTR) (“Landstar” or the “Company”) today reported basic and diluted earnings per share (“EPS”) of $0.85 in the 2025 first quarter on revenue of $1.153 billion. “The Landstar team of independent business owners and employees continued to perform admirably, despite a highly unpredictable macro-economic backdrop,” said Landstar President and Chief Executive Officer Frank Lonegro. “I was encouraged by the number of loads hauled via truck in the quarter. Importantly, this was the first time in fifteen years that the number of loads hauled via truck during the first quarter exceeded the immediately preceding fourth quarter. Our network of Landstar BCOs, agents and employees are laser-focused on safety, security and delivering great service to our customers in an extremely fluid freight transportation environment.”</w:t>
      </w:r>
    </w:p>
    <w:p>
      <w:pPr>
        <w:spacing w:after="0" w:line="138"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1Q 2025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1Q 2024</w:t>
            </w:r>
          </w:p>
        </w:tc>
      </w:tr>
      <w:tr>
        <w:trPr>
          <w:trHeight w:val="141"/>
        </w:trPr>
        <w:tc>
          <w:tcPr>
            <w:tcW w:w="44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1,152,502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1,171,043</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98,305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113,902</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161,310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168,240</w:t>
            </w: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39,419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59,961</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earnings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w:t>
            </w:r>
          </w:p>
        </w:tc>
      </w:tr>
    </w:tbl>
    <w:p>
      <w:pPr>
        <w:spacing w:after="0" w:line="158"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Dollars above in thousands, except per share amounts.</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Consolidated Statements of Income and Reconciliation of Gross Profit to Variable Contribution included below.</w:t>
      </w:r>
    </w:p>
    <w:p>
      <w:pPr>
        <w:spacing w:after="0" w:line="141" w:lineRule="exact"/>
        <w:rPr>
          <w:sz w:val="20"/>
          <w:szCs w:val="20"/>
          <w:color w:val="auto"/>
        </w:rPr>
      </w:pPr>
    </w:p>
    <w:p>
      <w:pPr>
        <w:ind w:left="640" w:right="679"/>
        <w:spacing w:after="0" w:line="214" w:lineRule="auto"/>
        <w:rPr>
          <w:sz w:val="20"/>
          <w:szCs w:val="20"/>
          <w:color w:val="auto"/>
        </w:rPr>
      </w:pPr>
      <w:r>
        <w:rPr>
          <w:rFonts w:ascii="Times New Roman" w:cs="Times New Roman" w:eastAsia="Times New Roman" w:hAnsi="Times New Roman"/>
          <w:sz w:val="13"/>
          <w:szCs w:val="13"/>
          <w:color w:val="auto"/>
        </w:rPr>
        <w:t>As previously disclosed in Current Reports on Form 8-K filed with the U.S. Securities and Exchange Commission on April 2, 2025 (the “April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8-K”), and subsequently on April 25, 2025 (the “April 25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8-K”), during the last week of the Company’s 2025 first quarter, Landstar identified a supply chain fraud relating to the Company’s international freight forwarding operations that does not involve its core North American truckload services. While investigation, remediation and collection efforts continue, the 2025 first quarter results include a $4.8 million pre-tax charge, or $0.10 per share, relating to this matter.</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SYSTEM/2</w:t>
      </w:r>
    </w:p>
    <w:p>
      <w:pPr>
        <w:spacing w:after="0" w:line="10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This charge currently reflects the total anticipated adverse financial impact to Landstar relating to the fraud, net of certain actual and anticipated recoveries and before taking into account the cost of legal and other professional fees as well as additional potential recoveries in the future. This charge is reflected in selling, general &amp; administrative costs.</w:t>
      </w:r>
    </w:p>
    <w:p>
      <w:pPr>
        <w:spacing w:after="0" w:line="130" w:lineRule="exact"/>
        <w:rPr>
          <w:sz w:val="20"/>
          <w:szCs w:val="20"/>
          <w:color w:val="auto"/>
        </w:rPr>
      </w:pPr>
    </w:p>
    <w:p>
      <w:pPr>
        <w:ind w:left="640" w:right="759"/>
        <w:spacing w:after="0" w:line="272" w:lineRule="auto"/>
        <w:rPr>
          <w:sz w:val="20"/>
          <w:szCs w:val="20"/>
          <w:color w:val="auto"/>
        </w:rPr>
      </w:pPr>
      <w:r>
        <w:rPr>
          <w:rFonts w:ascii="Times New Roman" w:cs="Times New Roman" w:eastAsia="Times New Roman" w:hAnsi="Times New Roman"/>
          <w:sz w:val="12"/>
          <w:szCs w:val="12"/>
          <w:color w:val="auto"/>
        </w:rPr>
        <w:t>Landstar continues to return capital to stockholders through the Company’s stock purchase program and dividends. During the 2025 first quarter, Landstar purchased approximately 386,000 shares of its common stock at an aggregate cost of $60.9 million and paid $83.3 million to stockholders in the form of cash dividends. The Company is currently authorized to purchase up to an additional 2,161,663 shares of the Company’s common stock under its longstanding share purchase program. Landstar also announced today that its Board of Directors declared a quarterly dividend of $0.40 per share payable on June 24, 2025, to stockholders of record as of the close of business on June 5, 2025. This quarterly dividend includes a $0.04 per share increase, or 11% over the amount of the Company’s regular quarterly dividend declared following each of the prior three quarters.</w:t>
      </w:r>
    </w:p>
    <w:p>
      <w:pPr>
        <w:spacing w:after="0" w:line="123" w:lineRule="exact"/>
        <w:rPr>
          <w:sz w:val="20"/>
          <w:szCs w:val="20"/>
          <w:color w:val="auto"/>
        </w:r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Total revenue was $1,153 million in the 2025 first quarter, compared to $1,171 million in the 2024 first quarter. Truck transportation revenue hauled by independent business capacity owners (“BCOs”) and truck brokerage carriers in the 2025 first quarter was $1,050 million, or 91% of revenue, compared to $1,069 million, or 91% of revenue, in the 2024 first quarter. Truckload transportation revenue hauled via van equipment in the 2025 first quarter was $595 million, compared to $628 million in the 2024 first quarter. Truckload transportation revenue hauled via unsided/platform equipment in the 2025 first quarter was $340 million, compared to $343 million in the 2024 first quarter. Revenue from other truck transportation, which is largely related to power-only services, in the 2025 first quarter was $92 million, compared to $72 million in the 2024 first quarter. Revenue hauled by rail, air and ocean cargo carriers was $83 million, or 7% of revenue, in the 2025 first quarter, compared to $77 million, or 7% of revenue, in the 2024 first quarter.</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SYSTEM/3</w:t>
      </w:r>
    </w:p>
    <w:p>
      <w:pPr>
        <w:spacing w:after="0" w:line="106"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number of loads hauled via truck declined 1.2% in the 2025 first quarter as compared to the 2024 first quarter. This performance was slightly better than the high-end of the Company’s guidance range of 7% below to 2% below prior year included in its 2024 fourth quarter earnings release slide presentation, dated January 29, 2025 (the “2025 First Quarter Guidance”). Truck revenue per load decreased 0.6% in the 2025 first quarter as compared to the 2024 first quarter, below the mid-point of the guidance range of 2% below to 3% above prior year provided in the 2025 First Quarter Guidance. As a result, first quarter revenue exceeded the mid-point of the range included in the Company’s 2025 First Quarter Guidance.</w:t>
      </w:r>
    </w:p>
    <w:p>
      <w:pPr>
        <w:spacing w:after="0" w:line="134" w:lineRule="exact"/>
        <w:rPr>
          <w:sz w:val="20"/>
          <w:szCs w:val="20"/>
          <w:color w:val="auto"/>
        </w:rPr>
      </w:pPr>
    </w:p>
    <w:p>
      <w:pPr>
        <w:ind w:left="640" w:right="699"/>
        <w:spacing w:after="0" w:line="211" w:lineRule="auto"/>
        <w:rPr>
          <w:sz w:val="20"/>
          <w:szCs w:val="20"/>
          <w:color w:val="auto"/>
        </w:rPr>
      </w:pPr>
      <w:r>
        <w:rPr>
          <w:rFonts w:ascii="Times New Roman" w:cs="Times New Roman" w:eastAsia="Times New Roman" w:hAnsi="Times New Roman"/>
          <w:sz w:val="13"/>
          <w:szCs w:val="13"/>
          <w:color w:val="auto"/>
        </w:rPr>
        <w:t>The April 25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8-K announced that 2025 first quarter EPS was $0.95, prior to giving effect to any potential adverse impact from the supply chain fraud matter referenced above. As also noted in the April 25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8-K, the adverse financial impact to Landstar, before taking into account the cost of legal and other professional fees or any potential insurance and other recoveries, was not expected to exceed $0.43 per share on an after-tax basis. As previously stated, 2025 first quarter EPS was $0.85, inclusive of $0.10 per share relating to the supply chain fraud matter. As previewed by the April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8-K, 2025 first quarter EPS also reflected highly elevated insurance and claim costs of 9.3% of BCO revenue, well above the Company’s average historical experience from the 2019 fiscal year through the 2024 fiscal year of 4.9%, primarily due to cargo theft and truck accident adverse prior year claim development.</w:t>
      </w:r>
    </w:p>
    <w:p>
      <w:pPr>
        <w:spacing w:after="0" w:line="141"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Gross profit in the 2025 first quarter was $98 million and variable contribution (defined as revenue less the cost of purchased transportation and commissions to agents) in the 2025 first quarter was $161 million. Gross profit in the 2024 first quarter was $114 million and variable contribution in the 2024 first quarter was $168 million. Reconciliations of gross profit to variable contribution and gross profit margin to variable contribution margin for the 2025 and 2024 first quarters are provided in the Company’s accompanying financial disclosures.</w:t>
      </w:r>
    </w:p>
    <w:p>
      <w:pPr>
        <w:spacing w:after="0" w:line="133"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The Company’s balance sheet continues to be very strong, with cash and short-term investments of approximately $473 million as of March 29, 2025. Trailing twelve-month return on average shareholders’ equity was 18%, and return on invested capital, representing net income divided by the sum of average equity plus average debt, was 17%.</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SYSTEM/4</w:t>
      </w:r>
    </w:p>
    <w:p>
      <w:pPr>
        <w:spacing w:after="0" w:line="106"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Landstar will provide a live webcast of its quarterly earnings conference call this morning at 8:30 a.m. ET. To access the webcast, visit www.investor.landstar.com; click on “Webcasts,” then click on “Landstar’s First Quarter 2025 Earnings Release Conference Call.” A slide presentation to accompany the webcast presentation is also available on Landstar’s investor relations website at https://investor.landstar.com/.</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Jim Todd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904-398-9400</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About Landstar:</w:t>
      </w:r>
    </w:p>
    <w:p>
      <w:pPr>
        <w:spacing w:after="0" w:line="80" w:lineRule="exact"/>
        <w:rPr>
          <w:sz w:val="20"/>
          <w:szCs w:val="20"/>
          <w:color w:val="auto"/>
        </w:rPr>
      </w:pPr>
    </w:p>
    <w:p>
      <w:pPr>
        <w:ind w:left="640" w:right="939"/>
        <w:spacing w:after="0" w:line="259" w:lineRule="auto"/>
        <w:rPr>
          <w:sz w:val="20"/>
          <w:szCs w:val="20"/>
          <w:color w:val="auto"/>
        </w:rPr>
      </w:pPr>
      <w:r>
        <w:rPr>
          <w:rFonts w:ascii="Times New Roman" w:cs="Times New Roman" w:eastAsia="Times New Roman" w:hAnsi="Times New Roman"/>
          <w:sz w:val="13"/>
          <w:szCs w:val="13"/>
          <w:color w:val="auto"/>
        </w:rPr>
        <w:t>Landstar System, Inc., is a technology-enabled, asset-light provider of integrated transportation management solutions delivering safe, specialized transportation services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under the symbol LSTR.</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Non-GAAP Financial Measures</w:t>
      </w:r>
      <w:r>
        <w:rPr>
          <w:rFonts w:ascii="Times New Roman" w:cs="Times New Roman" w:eastAsia="Times New Roman" w:hAnsi="Times New Roman"/>
          <w:sz w:val="13"/>
          <w:szCs w:val="13"/>
          <w:i w:val="1"/>
          <w:iCs w:val="1"/>
          <w:color w:val="auto"/>
        </w:rPr>
        <w:t>:</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this earnings release and accompanying financial disclosures, the Company provides the following information that may be deemed non-GAAP financial measures: variable contribution and variable contribution margin. The Company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The Company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SYSTEM/5</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 Looking Statements Disclaimer:</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U.S. trade relationships;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largest such agent by revenue in the 2024 fiscal year; decreased demand for transportation services;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uncertainties detailed in Landstar’s Form 10-K for the 2024 fiscal year,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ectPr>
          <w:pgSz w:w="11900" w:h="16838" w:orient="portrait"/>
          <w:cols w:equalWidth="0" w:num="1">
            <w:col w:w="9019"/>
          </w:cols>
          <w:pgMar w:left="1440" w:top="23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 Inc. and Subsidiary</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860" w:type="dxa"/>
            <w:vAlign w:val="bottom"/>
            <w:tcBorders>
              <w:top w:val="single" w:sz="8" w:color="auto"/>
            </w:tcBorders>
            <w:gridSpan w:val="4"/>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1,152,502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1,171,043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3,598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Purchased transportation</w:t>
            </w: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897,878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905,521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Commissions to agents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93,314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97,282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operating costs, net of gains on asset sales/dispositions</w:t>
            </w: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11,829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14,859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Insurance and claims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39,852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26,268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61,582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56,422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61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costs and expenses</w:t>
            </w: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1,116,681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1,114,494</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39,419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59,961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debt (income) expense</w:t>
            </w:r>
          </w:p>
        </w:tc>
        <w:tc>
          <w:tcPr>
            <w:tcW w:w="6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(1,611)</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39,578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61,572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9,772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14,476</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 and diluted earnings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0.85</w:t>
            </w:r>
          </w:p>
        </w:tc>
        <w:tc>
          <w:tcPr>
            <w:tcW w:w="2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basic and diluted shares outstanding</w:t>
            </w: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35,203,000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35,750,000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 per common share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0.36</w:t>
            </w:r>
          </w:p>
        </w:tc>
        <w:tc>
          <w:tcPr>
            <w:tcW w:w="200" w:type="dxa"/>
            <w:vAlign w:val="bottom"/>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 Inc. and Subsidiary</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4"/>
              </w:rPr>
              <w:t>March 29,</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ASSETS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417,420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515,018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56,016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51,619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Trade accounts receivable, less allowance of $16,316 and $12,904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703,181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683,841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receivables, including advances to independent contractors, less allowance of $16,998 and $17,812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48,433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47,160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16,571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22,229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current assets</w:t>
            </w: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1,241,621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1,319,867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property, less accumulated depreciation and amortization of $456,072 and $456,547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297,517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311,345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40,881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40,933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136,159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141,166</w:t>
            </w:r>
          </w:p>
        </w:tc>
        <w:tc>
          <w:tcPr>
            <w:tcW w:w="0" w:type="dxa"/>
            <w:vAlign w:val="bottom"/>
          </w:tcPr>
          <w:p>
            <w:pPr>
              <w:spacing w:after="0"/>
              <w:rPr>
                <w:sz w:val="1"/>
                <w:szCs w:val="1"/>
                <w:color w:val="auto"/>
              </w:rPr>
            </w:pPr>
          </w:p>
        </w:tc>
      </w:tr>
      <w:tr>
        <w:trPr>
          <w:trHeight w:val="159"/>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1,716,178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1,813,311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AND SHAREHOLDERS’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overdraft</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59,359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61,033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389,592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383,625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32,024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37,638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40,511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payable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70,632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93,701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612,314</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673,154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 excluding current maturities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61,944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69,191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75,436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62,842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 and other non-current liabilities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35,729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35,685</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Common stock, $0.01 par value, authorized 160,000,000 shares, issued 68,581,772 and 68,559,269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257,296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255,260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9"/>
              </w:rPr>
              <w:t>2,877,034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2,859,916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Cost of 33,635,595 and 33,243,196 shares of common stock in treasury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(2,193,265)</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(2,131,413)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(10,996)</w:t>
            </w: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0" w:type="dxa"/>
            <w:vAlign w:val="bottom"/>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930,755</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972,439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1,716,178</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1,813,311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Supplemental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center"/>
              <w:ind w:right="380"/>
              <w:spacing w:after="0" w:line="77" w:lineRule="exact"/>
              <w:rPr>
                <w:sz w:val="20"/>
                <w:szCs w:val="20"/>
                <w:color w:val="auto"/>
              </w:rPr>
            </w:pPr>
            <w:r>
              <w:rPr>
                <w:rFonts w:ascii="Times New Roman" w:cs="Times New Roman" w:eastAsia="Times New Roman" w:hAnsi="Times New Roman"/>
                <w:sz w:val="8"/>
                <w:szCs w:val="8"/>
                <w:b w:val="1"/>
                <w:bCs w:val="1"/>
                <w:color w:val="auto"/>
              </w:rPr>
              <w:t>March 29,</w:t>
            </w:r>
          </w:p>
        </w:tc>
        <w:tc>
          <w:tcPr>
            <w:tcW w:w="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March 30,</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310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60" w:type="dxa"/>
            <w:vAlign w:val="bottom"/>
            <w:tcBorders>
              <w:bottom w:val="single" w:sz="8" w:color="auto"/>
            </w:tcBorders>
            <w:gridSpan w:val="3"/>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Revenue generated through (in thousands):</w:t>
            </w:r>
          </w:p>
        </w:tc>
        <w:tc>
          <w:tcPr>
            <w:tcW w:w="3520" w:type="dxa"/>
            <w:vAlign w:val="bottom"/>
            <w:tcBorders>
              <w:bottom w:val="single" w:sz="8" w:color="CCEEFF"/>
            </w:tcBorders>
            <w:gridSpan w:val="2"/>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Truck transportation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Truckload: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740"/>
              <w:spacing w:after="0"/>
              <w:rPr>
                <w:sz w:val="20"/>
                <w:szCs w:val="20"/>
                <w:color w:val="auto"/>
              </w:rPr>
            </w:pPr>
            <w:r>
              <w:rPr>
                <w:rFonts w:ascii="Times New Roman" w:cs="Times New Roman" w:eastAsia="Times New Roman" w:hAnsi="Times New Roman"/>
                <w:sz w:val="13"/>
                <w:szCs w:val="13"/>
                <w:color w:val="auto"/>
              </w:rPr>
              <w:t>Van equipment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594,795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628,304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340,408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343,045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Less-than-truckload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22,436</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25,617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92,079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71,966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80" w:type="dxa"/>
            <w:vAlign w:val="bottom"/>
            <w:gridSpan w:val="5"/>
          </w:tcPr>
          <w:p>
            <w:pPr>
              <w:ind w:left="74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4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1,049,718</w:t>
            </w: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1,068,932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Rail intermodal</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17,487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22,695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65,637</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54,074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19,660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25,342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1,152,502</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1,171,043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line="157" w:lineRule="exact"/>
              <w:rPr>
                <w:sz w:val="20"/>
                <w:szCs w:val="20"/>
                <w:color w:val="auto"/>
              </w:rPr>
            </w:pPr>
            <w:r>
              <w:rPr>
                <w:rFonts w:ascii="Times New Roman" w:cs="Times New Roman" w:eastAsia="Times New Roman" w:hAnsi="Times New Roman"/>
                <w:sz w:val="13"/>
                <w:szCs w:val="13"/>
                <w:color w:val="auto"/>
              </w:rPr>
              <w:t xml:space="preserve">Revenue on loads hauled via BCO Independent Contractors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included in total truck transportation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427,057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452,561</w:t>
            </w:r>
          </w:p>
        </w:tc>
        <w:tc>
          <w:tcPr>
            <w:tcW w:w="0" w:type="dxa"/>
            <w:vAlign w:val="bottom"/>
          </w:tcPr>
          <w:p>
            <w:pPr>
              <w:spacing w:after="0"/>
              <w:rPr>
                <w:sz w:val="1"/>
                <w:szCs w:val="1"/>
                <w:color w:val="auto"/>
              </w:rPr>
            </w:pPr>
          </w:p>
        </w:tc>
      </w:tr>
      <w:tr>
        <w:trPr>
          <w:trHeight w:val="275"/>
        </w:trPr>
        <w:tc>
          <w:tcPr>
            <w:tcW w:w="57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Number of loads:</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Truck transportation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Truckload: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Van equipment</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288,063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299,014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74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117,245</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117,947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Less-than-truckload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35,580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40,233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68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484,900</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490,720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Rail intermodal</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6,150</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7,150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9,120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500,170</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506,590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line="157" w:lineRule="exact"/>
              <w:rPr>
                <w:sz w:val="20"/>
                <w:szCs w:val="20"/>
                <w:color w:val="auto"/>
              </w:rPr>
            </w:pPr>
            <w:r>
              <w:rPr>
                <w:rFonts w:ascii="Times New Roman" w:cs="Times New Roman" w:eastAsia="Times New Roman" w:hAnsi="Times New Roman"/>
                <w:sz w:val="13"/>
                <w:szCs w:val="13"/>
                <w:color w:val="auto"/>
              </w:rPr>
              <w:t xml:space="preserve">Loads hauled via BCO Independent Contractors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included in total truck transportation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194,070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208,740</w:t>
            </w:r>
          </w:p>
        </w:tc>
        <w:tc>
          <w:tcPr>
            <w:tcW w:w="0" w:type="dxa"/>
            <w:vAlign w:val="bottom"/>
          </w:tcPr>
          <w:p>
            <w:pPr>
              <w:spacing w:after="0"/>
              <w:rPr>
                <w:sz w:val="1"/>
                <w:szCs w:val="1"/>
                <w:color w:val="auto"/>
              </w:rPr>
            </w:pPr>
          </w:p>
        </w:tc>
      </w:tr>
      <w:tr>
        <w:trPr>
          <w:trHeight w:val="275"/>
        </w:trPr>
        <w:tc>
          <w:tcPr>
            <w:tcW w:w="57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Revenue per load:</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Truck transportation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Truckload: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Van equipment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2,065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74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2,903</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2,908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Less-than-truckload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631</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2,092</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2,147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2,165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2,178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Rail intermodal</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2,843</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3,174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7,197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6,201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 xml:space="preserve">Revenue per load on loads hauled via BCO Independent Contractors </w:t>
            </w:r>
            <w:r>
              <w:rPr>
                <w:rFonts w:ascii="Times New Roman" w:cs="Times New Roman" w:eastAsia="Times New Roman" w:hAnsi="Times New Roman"/>
                <w:sz w:val="18"/>
                <w:szCs w:val="18"/>
                <w:color w:val="auto"/>
                <w:vertAlign w:val="superscript"/>
              </w:rPr>
              <w:t>(3)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2,201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2,168</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680" w:type="dxa"/>
            <w:vAlign w:val="bottom"/>
            <w:gridSpan w:val="5"/>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Revenue by capacity type (as a % of total revenue):</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8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color w:val="auto"/>
              </w:rPr>
              <w:t>Truck capacity providers:</w:t>
            </w:r>
          </w:p>
        </w:tc>
        <w:tc>
          <w:tcPr>
            <w:tcW w:w="31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Truck Brokerage Carriers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Rail intermodal</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March 29,</w:t>
            </w:r>
          </w:p>
        </w:tc>
        <w:tc>
          <w:tcPr>
            <w:tcW w:w="60" w:type="dxa"/>
            <w:vAlign w:val="bottom"/>
          </w:tcPr>
          <w:p>
            <w:pPr>
              <w:spacing w:after="0"/>
              <w:rPr>
                <w:sz w:val="20"/>
                <w:szCs w:val="20"/>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March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310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80" w:type="dxa"/>
            <w:vAlign w:val="bottom"/>
            <w:tcBorders>
              <w:bottom w:val="single" w:sz="8" w:color="auto"/>
            </w:tcBorders>
            <w:gridSpan w:val="2"/>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Truck Capacity Providers</w:t>
            </w:r>
          </w:p>
        </w:tc>
        <w:tc>
          <w:tcPr>
            <w:tcW w:w="4400" w:type="dxa"/>
            <w:vAlign w:val="bottom"/>
            <w:tcBorders>
              <w:bottom w:val="single" w:sz="8" w:color="CCEEFF"/>
            </w:tcBorders>
            <w:gridSpan w:val="3"/>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24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7,871</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8,619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Truck Brokerage Carriers:</w:t>
            </w:r>
          </w:p>
        </w:tc>
        <w:tc>
          <w:tcPr>
            <w:tcW w:w="4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tcPr>
          <w:p>
            <w:pPr>
              <w:ind w:left="480"/>
              <w:spacing w:after="0" w:line="152" w:lineRule="exact"/>
              <w:rPr>
                <w:sz w:val="20"/>
                <w:szCs w:val="20"/>
                <w:color w:val="auto"/>
              </w:rPr>
            </w:pPr>
            <w:r>
              <w:rPr>
                <w:rFonts w:ascii="Times New Roman" w:cs="Times New Roman" w:eastAsia="Times New Roman" w:hAnsi="Times New Roman"/>
                <w:sz w:val="12"/>
                <w:szCs w:val="12"/>
                <w:color w:val="auto"/>
              </w:rPr>
              <w:t xml:space="preserve">Approved and active </w:t>
            </w:r>
            <w:r>
              <w:rPr>
                <w:rFonts w:ascii="Times New Roman" w:cs="Times New Roman" w:eastAsia="Times New Roman" w:hAnsi="Times New Roman"/>
                <w:sz w:val="17"/>
                <w:szCs w:val="17"/>
                <w:color w:val="auto"/>
                <w:vertAlign w:val="superscript"/>
              </w:rPr>
              <w:t>(4)</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47,323</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45,919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8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approved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33,275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26,320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80,598</w:t>
            </w: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72,239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available truck capacity providers</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88,469</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80,858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568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 xml:space="preserve">Trucks provided by BCO Independent Contractors </w:t>
            </w:r>
            <w:r>
              <w:rPr>
                <w:rFonts w:ascii="Times New Roman" w:cs="Times New Roman" w:eastAsia="Times New Roman" w:hAnsi="Times New Roman"/>
                <w:sz w:val="18"/>
                <w:szCs w:val="18"/>
                <w:color w:val="auto"/>
                <w:vertAlign w:val="superscript"/>
              </w:rPr>
              <w:t>(3)</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9,410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40" w:right="699" w:hanging="303"/>
        <w:spacing w:after="0" w:line="250"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ind w:left="940" w:right="759" w:hanging="303"/>
        <w:spacing w:after="0" w:line="243"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primarily reinsurance premium revenue generated by the insurance segment and intra-Mexico transportation services revenue generated by Landstar Metro.</w:t>
      </w: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BCO Independent Contractors are independent contractors who provide truck capacity to the Company under exclusive lease arrangements.</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 refers to Truck Brokerage Carriers who moved at least one load in the 180 days immediately preceding the fiscal quarter end.</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Gross Profit to Variable Contribution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Thirteen Weeks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Borders>
              <w:top w:val="single" w:sz="8" w:color="auto"/>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560" w:type="dxa"/>
            <w:vAlign w:val="bottom"/>
            <w:tcBorders>
              <w:top w:val="single" w:sz="8" w:color="auto"/>
            </w:tcBorders>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94"/>
              </w:rPr>
              <w:t>March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1,152,502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1,171,043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Costs of revenue:</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Purchased transportation</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897,878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905,521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Commissions to agents</w:t>
            </w: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93,314</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97,282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Variable costs of revenue</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991,192</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1,002,803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Trailing equipment depreciation</w:t>
            </w: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6,977</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6,897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Information technology costs (1)</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3,675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5,804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Insurance-related costs (2)</w:t>
            </w: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40,524</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26,778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operating costs</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11,829</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costs of revenue</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54,338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costs of revenue</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1,054,197</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1,057,141</w:t>
            </w: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2040" w:type="dxa"/>
            <w:vAlign w:val="bottom"/>
            <w:gridSpan w:val="2"/>
          </w:tcPr>
          <w:p>
            <w:pPr>
              <w:ind w:left="198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98,305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113,902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Plus: other costs of revenue</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63,005</w:t>
            </w:r>
          </w:p>
        </w:tc>
        <w:tc>
          <w:tcPr>
            <w:tcW w:w="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54,338</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20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161,310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168,240</w:t>
            </w:r>
          </w:p>
        </w:tc>
        <w:tc>
          <w:tcPr>
            <w:tcW w:w="0" w:type="dxa"/>
            <w:vAlign w:val="bottom"/>
          </w:tcPr>
          <w:p>
            <w:pPr>
              <w:spacing w:after="0"/>
              <w:rPr>
                <w:sz w:val="1"/>
                <w:szCs w:val="1"/>
                <w:color w:val="auto"/>
              </w:rPr>
            </w:pPr>
          </w:p>
        </w:tc>
      </w:tr>
      <w:tr>
        <w:trPr>
          <w:trHeight w:val="28"/>
        </w:trPr>
        <w:tc>
          <w:tcPr>
            <w:tcW w:w="41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3"/>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Variable contribution margin</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40" w:right="879" w:hanging="303"/>
        <w:spacing w:after="0" w:line="248"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w:t>
      </w:r>
    </w:p>
    <w:p>
      <w:pPr>
        <w:spacing w:after="0" w:line="1" w:lineRule="exact"/>
        <w:rPr>
          <w:rFonts w:ascii="Times New Roman" w:cs="Times New Roman" w:eastAsia="Times New Roman" w:hAnsi="Times New Roman"/>
          <w:sz w:val="13"/>
          <w:szCs w:val="13"/>
          <w:color w:val="auto"/>
        </w:rPr>
      </w:pPr>
    </w:p>
    <w:p>
      <w:pPr>
        <w:ind w:left="940" w:right="879" w:hanging="303"/>
        <w:spacing w:after="0" w:line="244"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w:t>
      </w:r>
    </w:p>
    <w:p>
      <w:pPr>
        <w:sectPr>
          <w:pgSz w:w="11900" w:h="16838" w:orient="portrait"/>
          <w:cols w:equalWidth="0" w:num="1">
            <w:col w:w="9019"/>
          </w:cols>
          <w:pgMar w:left="1440" w:top="229" w:right="1440" w:bottom="1440" w:gutter="0" w:footer="0" w:header="0"/>
        </w:sectPr>
      </w:pPr>
    </w:p>
    <w:bookmarkStart w:id="12" w:name="page13"/>
    <w:bookmarkEnd w:id="1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2025-05-13T07:44:44Z</dcterms:created>
  <dcterms:modified xsi:type="dcterms:W3CDTF">2025-05-13T07:44:44Z</dcterms:modified>
</cp:coreProperties>
</file>